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843" w:type="dxa"/>
        <w:tblLook w:val="04A0" w:firstRow="1" w:lastRow="0" w:firstColumn="1" w:lastColumn="0" w:noHBand="0" w:noVBand="1"/>
      </w:tblPr>
      <w:tblGrid>
        <w:gridCol w:w="1951"/>
        <w:gridCol w:w="13892"/>
      </w:tblGrid>
      <w:tr w:rsidR="00725AAC" w:rsidRPr="00703DAE" w14:paraId="32A97634" w14:textId="77777777" w:rsidTr="00EC3833">
        <w:tc>
          <w:tcPr>
            <w:tcW w:w="15843" w:type="dxa"/>
            <w:gridSpan w:val="2"/>
            <w:tcBorders>
              <w:top w:val="nil"/>
              <w:left w:val="nil"/>
              <w:bottom w:val="single" w:sz="4" w:space="0" w:color="auto"/>
              <w:right w:val="nil"/>
            </w:tcBorders>
            <w:shd w:val="clear" w:color="auto" w:fill="auto"/>
          </w:tcPr>
          <w:p w14:paraId="6D7167D6" w14:textId="77777777" w:rsidR="00725AAC" w:rsidRPr="00703DAE" w:rsidRDefault="00725AAC" w:rsidP="00EC3833">
            <w:pPr>
              <w:rPr>
                <w:rFonts w:asciiTheme="minorHAnsi" w:hAnsiTheme="minorHAnsi"/>
                <w:b/>
                <w:color w:val="1F497D" w:themeColor="text2"/>
              </w:rPr>
            </w:pPr>
            <w:r w:rsidRPr="00703DAE">
              <w:rPr>
                <w:rFonts w:asciiTheme="minorHAnsi" w:hAnsiTheme="minorHAnsi"/>
                <w:b/>
                <w:color w:val="1F497D" w:themeColor="text2"/>
                <w:sz w:val="28"/>
              </w:rPr>
              <w:t>Street League – Sport Worx 2018</w:t>
            </w:r>
          </w:p>
        </w:tc>
      </w:tr>
      <w:tr w:rsidR="00725AAC" w:rsidRPr="00781081" w14:paraId="6BF5F697" w14:textId="77777777" w:rsidTr="00EC3833">
        <w:tc>
          <w:tcPr>
            <w:tcW w:w="15843" w:type="dxa"/>
            <w:gridSpan w:val="2"/>
            <w:tcBorders>
              <w:top w:val="single" w:sz="4" w:space="0" w:color="auto"/>
            </w:tcBorders>
            <w:shd w:val="clear" w:color="auto" w:fill="FBD4B4" w:themeFill="accent6" w:themeFillTint="66"/>
          </w:tcPr>
          <w:p w14:paraId="2A286D4D" w14:textId="77777777" w:rsidR="00725AAC" w:rsidRPr="00781081" w:rsidRDefault="00725AAC" w:rsidP="00EC3833">
            <w:pPr>
              <w:rPr>
                <w:rFonts w:asciiTheme="minorHAnsi" w:hAnsiTheme="minorHAnsi"/>
                <w:b/>
                <w:color w:val="1F497D" w:themeColor="text2"/>
                <w:sz w:val="20"/>
                <w:szCs w:val="20"/>
              </w:rPr>
            </w:pPr>
            <w:r w:rsidRPr="00781081">
              <w:rPr>
                <w:rFonts w:asciiTheme="minorHAnsi" w:hAnsiTheme="minorHAnsi"/>
                <w:b/>
                <w:color w:val="1F497D" w:themeColor="text2"/>
                <w:sz w:val="20"/>
                <w:szCs w:val="20"/>
              </w:rPr>
              <w:t xml:space="preserve">Specialist Support for: Jobless residents in Dundee aged 16-30 with multiple barriers </w:t>
            </w:r>
          </w:p>
        </w:tc>
      </w:tr>
      <w:tr w:rsidR="00725AAC" w:rsidRPr="00781081" w14:paraId="51B87670" w14:textId="77777777" w:rsidTr="00EC3833">
        <w:tc>
          <w:tcPr>
            <w:tcW w:w="1951" w:type="dxa"/>
          </w:tcPr>
          <w:p w14:paraId="5601F3F8" w14:textId="77777777" w:rsidR="00725AAC" w:rsidRPr="00781081" w:rsidRDefault="00725AAC" w:rsidP="00EC3833">
            <w:pPr>
              <w:rPr>
                <w:rFonts w:asciiTheme="minorHAnsi" w:hAnsiTheme="minorHAnsi"/>
                <w:b/>
                <w:color w:val="1F497D" w:themeColor="text2"/>
                <w:sz w:val="20"/>
                <w:szCs w:val="20"/>
              </w:rPr>
            </w:pPr>
            <w:r w:rsidRPr="00781081">
              <w:rPr>
                <w:rFonts w:asciiTheme="minorHAnsi" w:hAnsiTheme="minorHAnsi"/>
                <w:b/>
                <w:color w:val="1F497D" w:themeColor="text2"/>
                <w:sz w:val="20"/>
                <w:szCs w:val="20"/>
              </w:rPr>
              <w:t>What are we doing and how are we doing it?</w:t>
            </w:r>
          </w:p>
        </w:tc>
        <w:tc>
          <w:tcPr>
            <w:tcW w:w="13892" w:type="dxa"/>
          </w:tcPr>
          <w:p w14:paraId="23F94757" w14:textId="77777777" w:rsidR="00725AAC" w:rsidRPr="00C94ED8" w:rsidRDefault="00725AAC" w:rsidP="00EC3833">
            <w:pPr>
              <w:jc w:val="both"/>
              <w:rPr>
                <w:rFonts w:asciiTheme="minorHAnsi" w:hAnsiTheme="minorHAnsi" w:cs="Arial"/>
                <w:color w:val="1F497D" w:themeColor="text2"/>
                <w:sz w:val="20"/>
                <w:szCs w:val="20"/>
              </w:rPr>
            </w:pPr>
            <w:r w:rsidRPr="00C94ED8">
              <w:rPr>
                <w:rFonts w:asciiTheme="minorHAnsi" w:hAnsiTheme="minorHAnsi" w:cs="Arial"/>
                <w:color w:val="1F497D" w:themeColor="text2"/>
                <w:sz w:val="20"/>
                <w:szCs w:val="20"/>
              </w:rPr>
              <w:t>We support young people to achieve their goals and progre</w:t>
            </w:r>
            <w:r>
              <w:rPr>
                <w:rFonts w:asciiTheme="minorHAnsi" w:hAnsiTheme="minorHAnsi" w:cs="Arial"/>
                <w:color w:val="1F497D" w:themeColor="text2"/>
                <w:sz w:val="20"/>
                <w:szCs w:val="20"/>
              </w:rPr>
              <w:t xml:space="preserve">ss to employment opportunities. </w:t>
            </w:r>
            <w:r w:rsidRPr="00C94ED8">
              <w:rPr>
                <w:rFonts w:asciiTheme="minorHAnsi" w:hAnsiTheme="minorHAnsi" w:cs="Arial"/>
                <w:color w:val="1F497D" w:themeColor="text2"/>
                <w:sz w:val="20"/>
                <w:szCs w:val="20"/>
              </w:rPr>
              <w:t>Each individual has an agreed action plan prepared following our Initial Assessment Process which incorporates access to ongoing free sporting activity and 1-1 discussion as part of the process prior to registration, if appropriate.</w:t>
            </w:r>
          </w:p>
          <w:p w14:paraId="2D328AB5" w14:textId="77777777" w:rsidR="00725AAC" w:rsidRPr="00C94ED8" w:rsidRDefault="00725AAC" w:rsidP="00EC3833">
            <w:pPr>
              <w:jc w:val="both"/>
              <w:rPr>
                <w:rFonts w:asciiTheme="minorHAnsi" w:hAnsiTheme="minorHAnsi" w:cs="Arial"/>
                <w:color w:val="1F497D" w:themeColor="text2"/>
                <w:sz w:val="20"/>
                <w:szCs w:val="20"/>
              </w:rPr>
            </w:pPr>
            <w:r w:rsidRPr="00C94ED8">
              <w:rPr>
                <w:rFonts w:asciiTheme="minorHAnsi" w:hAnsiTheme="minorHAnsi" w:cs="Arial"/>
                <w:color w:val="1F497D" w:themeColor="text2"/>
                <w:sz w:val="20"/>
                <w:szCs w:val="20"/>
              </w:rPr>
              <w:t>We then assist clients overcome their personal barriers in a number of ways:</w:t>
            </w:r>
          </w:p>
          <w:p w14:paraId="06FFFAC7" w14:textId="03793404" w:rsidR="00725AAC" w:rsidRPr="00C94ED8" w:rsidRDefault="00725AAC" w:rsidP="00EC3833">
            <w:pPr>
              <w:jc w:val="both"/>
              <w:rPr>
                <w:rFonts w:asciiTheme="minorHAnsi" w:hAnsiTheme="minorHAnsi" w:cs="Arial"/>
                <w:color w:val="1F497D" w:themeColor="text2"/>
                <w:sz w:val="20"/>
                <w:szCs w:val="20"/>
              </w:rPr>
            </w:pPr>
            <w:r w:rsidRPr="00C94ED8">
              <w:rPr>
                <w:rFonts w:asciiTheme="minorHAnsi" w:hAnsiTheme="minorHAnsi" w:cs="Arial"/>
                <w:color w:val="1F497D" w:themeColor="text2"/>
                <w:sz w:val="20"/>
                <w:szCs w:val="20"/>
              </w:rPr>
              <w:t>-‘</w:t>
            </w:r>
            <w:r w:rsidR="00A1301B">
              <w:rPr>
                <w:rFonts w:asciiTheme="minorHAnsi" w:hAnsiTheme="minorHAnsi" w:cs="Arial"/>
                <w:color w:val="1F497D" w:themeColor="text2"/>
                <w:sz w:val="20"/>
                <w:szCs w:val="20"/>
              </w:rPr>
              <w:t>Sport Worx</w:t>
            </w:r>
            <w:r w:rsidRPr="00C94ED8">
              <w:rPr>
                <w:rFonts w:asciiTheme="minorHAnsi" w:hAnsiTheme="minorHAnsi" w:cs="Arial"/>
                <w:color w:val="1F497D" w:themeColor="text2"/>
                <w:sz w:val="20"/>
                <w:szCs w:val="20"/>
              </w:rPr>
              <w:t xml:space="preserve">’ sessions, </w:t>
            </w:r>
            <w:r w:rsidR="00A1301B">
              <w:rPr>
                <w:rFonts w:asciiTheme="minorHAnsi" w:hAnsiTheme="minorHAnsi" w:cs="Arial"/>
                <w:color w:val="1F497D" w:themeColor="text2"/>
                <w:sz w:val="20"/>
                <w:szCs w:val="20"/>
              </w:rPr>
              <w:t>1/2</w:t>
            </w:r>
            <w:r w:rsidRPr="00C94ED8">
              <w:rPr>
                <w:rFonts w:asciiTheme="minorHAnsi" w:hAnsiTheme="minorHAnsi" w:cs="Arial"/>
                <w:color w:val="1F497D" w:themeColor="text2"/>
                <w:sz w:val="20"/>
                <w:szCs w:val="20"/>
              </w:rPr>
              <w:t xml:space="preserve"> times per week for up to 20 weeks – with a focus on group formation, confidence building, personal identity, self- awareness, barrier removal and motivation for change;</w:t>
            </w:r>
          </w:p>
          <w:p w14:paraId="2544608A" w14:textId="77777777" w:rsidR="00725AAC" w:rsidRPr="00C94ED8" w:rsidRDefault="00725AAC" w:rsidP="00EC3833">
            <w:pPr>
              <w:jc w:val="both"/>
              <w:rPr>
                <w:rFonts w:asciiTheme="minorHAnsi" w:hAnsiTheme="minorHAnsi" w:cs="Arial"/>
                <w:color w:val="1F497D" w:themeColor="text2"/>
                <w:sz w:val="20"/>
                <w:szCs w:val="20"/>
              </w:rPr>
            </w:pPr>
            <w:r w:rsidRPr="00C94ED8">
              <w:rPr>
                <w:rFonts w:asciiTheme="minorHAnsi" w:hAnsiTheme="minorHAnsi" w:cs="Arial"/>
                <w:color w:val="1F497D" w:themeColor="text2"/>
                <w:sz w:val="20"/>
                <w:szCs w:val="20"/>
              </w:rPr>
              <w:t>-Introduction of personal development and light touch employability;</w:t>
            </w:r>
          </w:p>
          <w:p w14:paraId="4B38431B" w14:textId="77777777" w:rsidR="00725AAC" w:rsidRPr="00C94ED8" w:rsidRDefault="00725AAC" w:rsidP="00EC3833">
            <w:pPr>
              <w:jc w:val="both"/>
              <w:rPr>
                <w:rFonts w:asciiTheme="minorHAnsi" w:hAnsiTheme="minorHAnsi" w:cs="Arial"/>
                <w:color w:val="1F497D" w:themeColor="text2"/>
                <w:sz w:val="20"/>
                <w:szCs w:val="20"/>
              </w:rPr>
            </w:pPr>
            <w:r w:rsidRPr="00C94ED8">
              <w:rPr>
                <w:rFonts w:asciiTheme="minorHAnsi" w:hAnsiTheme="minorHAnsi" w:cs="Arial"/>
                <w:color w:val="1F497D" w:themeColor="text2"/>
                <w:sz w:val="20"/>
                <w:szCs w:val="20"/>
              </w:rPr>
              <w:t>-1-2-1 and group sessions including but are not limited to: Communication Skills; Assertiveness; Roles and Responsibilities; Strengths and Weaknesses; Skills and Qualities; Goal Setting; Barriers &amp; Choices;</w:t>
            </w:r>
            <w:bookmarkStart w:id="0" w:name="_GoBack"/>
            <w:bookmarkEnd w:id="0"/>
          </w:p>
          <w:p w14:paraId="48734CC2" w14:textId="77777777" w:rsidR="00725AAC" w:rsidRPr="00C94ED8" w:rsidRDefault="00725AAC" w:rsidP="00EC3833">
            <w:pPr>
              <w:jc w:val="both"/>
              <w:rPr>
                <w:rFonts w:asciiTheme="minorHAnsi" w:hAnsiTheme="minorHAnsi" w:cs="Arial"/>
                <w:color w:val="1F497D" w:themeColor="text2"/>
                <w:sz w:val="20"/>
                <w:szCs w:val="20"/>
              </w:rPr>
            </w:pPr>
            <w:r w:rsidRPr="00C94ED8">
              <w:rPr>
                <w:rFonts w:asciiTheme="minorHAnsi" w:hAnsiTheme="minorHAnsi" w:cs="Arial"/>
                <w:color w:val="1F497D" w:themeColor="text2"/>
                <w:sz w:val="20"/>
                <w:szCs w:val="20"/>
              </w:rPr>
              <w:t>-Through partnership organisations, a range of external support will also be made available on specific health related issues including: Smoking cessation; diet &amp; nutrition; drugs &amp; alcohol; and sexual health</w:t>
            </w:r>
          </w:p>
          <w:p w14:paraId="0A54822D" w14:textId="77777777" w:rsidR="00725AAC" w:rsidRPr="00C94ED8" w:rsidRDefault="00725AAC" w:rsidP="00EC3833">
            <w:pPr>
              <w:jc w:val="both"/>
              <w:rPr>
                <w:rFonts w:asciiTheme="minorHAnsi" w:hAnsiTheme="minorHAnsi" w:cs="Arial"/>
                <w:color w:val="1F497D" w:themeColor="text2"/>
                <w:sz w:val="20"/>
                <w:szCs w:val="20"/>
              </w:rPr>
            </w:pPr>
            <w:r w:rsidRPr="00C94ED8">
              <w:rPr>
                <w:rFonts w:asciiTheme="minorHAnsi" w:hAnsiTheme="minorHAnsi" w:cs="Arial"/>
                <w:color w:val="1F497D" w:themeColor="text2"/>
                <w:sz w:val="20"/>
                <w:szCs w:val="20"/>
              </w:rPr>
              <w:t>-Encourage participants to engage with other necessary support, provision or lifestyle activity out with Street League that supplements their individual needs</w:t>
            </w:r>
          </w:p>
          <w:p w14:paraId="6712A7B3" w14:textId="77777777" w:rsidR="00725AAC" w:rsidRPr="00781081" w:rsidRDefault="00725AAC" w:rsidP="00EC3833">
            <w:pPr>
              <w:jc w:val="both"/>
              <w:rPr>
                <w:color w:val="1F497D" w:themeColor="text2"/>
                <w:sz w:val="20"/>
                <w:szCs w:val="20"/>
              </w:rPr>
            </w:pPr>
            <w:r w:rsidRPr="00C94ED8">
              <w:rPr>
                <w:rFonts w:asciiTheme="minorHAnsi" w:hAnsiTheme="minorHAnsi" w:cs="Arial"/>
                <w:color w:val="1F497D" w:themeColor="text2"/>
                <w:sz w:val="20"/>
                <w:szCs w:val="20"/>
              </w:rPr>
              <w:t>-Holistic approach with a focus on mindfulness, nutrition, muscle recovery and promotion of the evidenced links between ‘healthy body – healthy mind’</w:t>
            </w:r>
          </w:p>
        </w:tc>
      </w:tr>
      <w:tr w:rsidR="00725AAC" w:rsidRPr="00781081" w14:paraId="090635AB" w14:textId="77777777" w:rsidTr="00EC3833">
        <w:tc>
          <w:tcPr>
            <w:tcW w:w="1951" w:type="dxa"/>
            <w:shd w:val="clear" w:color="auto" w:fill="FBD4B4" w:themeFill="accent6" w:themeFillTint="66"/>
          </w:tcPr>
          <w:p w14:paraId="2CA47C8F" w14:textId="77777777" w:rsidR="00725AAC" w:rsidRPr="00781081" w:rsidRDefault="00725AAC" w:rsidP="00EC3833">
            <w:pPr>
              <w:rPr>
                <w:rFonts w:asciiTheme="minorHAnsi" w:hAnsiTheme="minorHAnsi"/>
                <w:b/>
                <w:color w:val="1F497D" w:themeColor="text2"/>
                <w:sz w:val="20"/>
                <w:szCs w:val="20"/>
              </w:rPr>
            </w:pPr>
            <w:r w:rsidRPr="00781081">
              <w:rPr>
                <w:rFonts w:asciiTheme="minorHAnsi" w:hAnsiTheme="minorHAnsi"/>
                <w:b/>
                <w:color w:val="1F497D" w:themeColor="text2"/>
                <w:sz w:val="20"/>
                <w:szCs w:val="20"/>
              </w:rPr>
              <w:t>Who’s Eligible?</w:t>
            </w:r>
          </w:p>
        </w:tc>
        <w:tc>
          <w:tcPr>
            <w:tcW w:w="13892" w:type="dxa"/>
            <w:shd w:val="clear" w:color="auto" w:fill="FBD4B4" w:themeFill="accent6" w:themeFillTint="66"/>
          </w:tcPr>
          <w:p w14:paraId="3D4B3392" w14:textId="77777777" w:rsidR="00725AAC" w:rsidRPr="00781081" w:rsidRDefault="00725AAC" w:rsidP="00EC3833">
            <w:pPr>
              <w:rPr>
                <w:rFonts w:asciiTheme="minorHAnsi" w:hAnsiTheme="minorHAnsi"/>
                <w:color w:val="1F497D" w:themeColor="text2"/>
                <w:sz w:val="20"/>
                <w:szCs w:val="20"/>
              </w:rPr>
            </w:pPr>
            <w:r w:rsidRPr="00781081">
              <w:rPr>
                <w:rFonts w:asciiTheme="minorHAnsi" w:hAnsiTheme="minorHAnsi"/>
                <w:color w:val="1F497D" w:themeColor="text2"/>
                <w:sz w:val="20"/>
                <w:szCs w:val="20"/>
              </w:rPr>
              <w:t>People aged 16-30 who are not in employment, education or training.</w:t>
            </w:r>
          </w:p>
        </w:tc>
      </w:tr>
      <w:tr w:rsidR="00725AAC" w:rsidRPr="00781081" w14:paraId="25A03BF2" w14:textId="77777777" w:rsidTr="00EC3833">
        <w:tc>
          <w:tcPr>
            <w:tcW w:w="1951" w:type="dxa"/>
          </w:tcPr>
          <w:p w14:paraId="4E459B7D" w14:textId="77777777" w:rsidR="00725AAC" w:rsidRPr="00781081" w:rsidRDefault="00725AAC" w:rsidP="00EC3833">
            <w:pPr>
              <w:rPr>
                <w:rFonts w:asciiTheme="minorHAnsi" w:hAnsiTheme="minorHAnsi"/>
                <w:b/>
                <w:color w:val="1F497D" w:themeColor="text2"/>
                <w:sz w:val="20"/>
                <w:szCs w:val="20"/>
              </w:rPr>
            </w:pPr>
            <w:r w:rsidRPr="00781081">
              <w:rPr>
                <w:rFonts w:asciiTheme="minorHAnsi" w:hAnsiTheme="minorHAnsi"/>
                <w:b/>
                <w:color w:val="1F497D" w:themeColor="text2"/>
                <w:sz w:val="20"/>
                <w:szCs w:val="20"/>
              </w:rPr>
              <w:t>Target Audience:</w:t>
            </w:r>
          </w:p>
        </w:tc>
        <w:tc>
          <w:tcPr>
            <w:tcW w:w="13892" w:type="dxa"/>
          </w:tcPr>
          <w:p w14:paraId="5F6AF75B" w14:textId="6A535F65" w:rsidR="00725AAC" w:rsidRPr="00781081" w:rsidRDefault="00725AAC" w:rsidP="00EC3833">
            <w:pPr>
              <w:rPr>
                <w:rFonts w:asciiTheme="minorHAnsi" w:hAnsiTheme="minorHAnsi"/>
                <w:color w:val="1F497D" w:themeColor="text2"/>
                <w:sz w:val="20"/>
                <w:szCs w:val="20"/>
              </w:rPr>
            </w:pPr>
            <w:r w:rsidRPr="00781081">
              <w:rPr>
                <w:rFonts w:asciiTheme="minorHAnsi" w:hAnsiTheme="minorHAnsi"/>
                <w:color w:val="1F497D" w:themeColor="text2"/>
                <w:sz w:val="20"/>
                <w:szCs w:val="20"/>
              </w:rPr>
              <w:t>Unemployed clients aged 16 – 30 in Dundee City Council postcode boundaries.    Not exclusive to, but with particular focus on engaging clients with the following barriers: Mental health issues; Long-term Unemployed; Long-term Unemployed ; Low skilled;  No work experience; Care Experienced; Criminal convictions; Substance related conditions; From Employment Deprived Areas; Refugees/Ethnic Minorities</w:t>
            </w:r>
          </w:p>
        </w:tc>
      </w:tr>
      <w:tr w:rsidR="00725AAC" w:rsidRPr="00781081" w14:paraId="4AA4EE0B" w14:textId="77777777" w:rsidTr="00EC3833">
        <w:tc>
          <w:tcPr>
            <w:tcW w:w="1951" w:type="dxa"/>
            <w:shd w:val="clear" w:color="auto" w:fill="FBD4B4" w:themeFill="accent6" w:themeFillTint="66"/>
          </w:tcPr>
          <w:p w14:paraId="0F287D3F" w14:textId="77777777" w:rsidR="00725AAC" w:rsidRPr="00781081" w:rsidRDefault="00725AAC" w:rsidP="00EC3833">
            <w:pPr>
              <w:rPr>
                <w:rFonts w:asciiTheme="minorHAnsi" w:hAnsiTheme="minorHAnsi"/>
                <w:b/>
                <w:color w:val="1F497D" w:themeColor="text2"/>
                <w:sz w:val="20"/>
                <w:szCs w:val="20"/>
              </w:rPr>
            </w:pPr>
            <w:r w:rsidRPr="00781081">
              <w:rPr>
                <w:rFonts w:asciiTheme="minorHAnsi" w:hAnsiTheme="minorHAnsi"/>
                <w:b/>
                <w:color w:val="1F497D" w:themeColor="text2"/>
                <w:sz w:val="20"/>
                <w:szCs w:val="20"/>
              </w:rPr>
              <w:t>When can we apply?</w:t>
            </w:r>
          </w:p>
        </w:tc>
        <w:tc>
          <w:tcPr>
            <w:tcW w:w="13892" w:type="dxa"/>
            <w:shd w:val="clear" w:color="auto" w:fill="FBD4B4" w:themeFill="accent6" w:themeFillTint="66"/>
          </w:tcPr>
          <w:p w14:paraId="1F59948F" w14:textId="77777777" w:rsidR="00725AAC" w:rsidRPr="00781081" w:rsidRDefault="00725AAC" w:rsidP="00EC3833">
            <w:pPr>
              <w:rPr>
                <w:rFonts w:asciiTheme="minorHAnsi" w:hAnsiTheme="minorHAnsi"/>
                <w:color w:val="1F497D" w:themeColor="text2"/>
                <w:sz w:val="20"/>
                <w:szCs w:val="20"/>
              </w:rPr>
            </w:pPr>
            <w:r w:rsidRPr="00781081">
              <w:rPr>
                <w:rFonts w:asciiTheme="minorHAnsi" w:hAnsiTheme="minorHAnsi"/>
                <w:color w:val="1F497D" w:themeColor="text2"/>
                <w:sz w:val="20"/>
                <w:szCs w:val="20"/>
              </w:rPr>
              <w:t>Anytime Mon - Fri 9am-5pm.</w:t>
            </w:r>
          </w:p>
        </w:tc>
      </w:tr>
      <w:tr w:rsidR="00725AAC" w:rsidRPr="00781081" w14:paraId="3FD13060" w14:textId="77777777" w:rsidTr="00EC3833">
        <w:tc>
          <w:tcPr>
            <w:tcW w:w="1951" w:type="dxa"/>
          </w:tcPr>
          <w:p w14:paraId="344CE966" w14:textId="77777777" w:rsidR="00725AAC" w:rsidRPr="00781081" w:rsidRDefault="00725AAC" w:rsidP="00EC3833">
            <w:pPr>
              <w:rPr>
                <w:rFonts w:asciiTheme="minorHAnsi" w:hAnsiTheme="minorHAnsi"/>
                <w:b/>
                <w:color w:val="1F497D" w:themeColor="text2"/>
                <w:sz w:val="20"/>
                <w:szCs w:val="20"/>
              </w:rPr>
            </w:pPr>
            <w:r w:rsidRPr="00781081">
              <w:rPr>
                <w:rFonts w:asciiTheme="minorHAnsi" w:hAnsiTheme="minorHAnsi"/>
                <w:b/>
                <w:color w:val="1F497D" w:themeColor="text2"/>
                <w:sz w:val="20"/>
                <w:szCs w:val="20"/>
              </w:rPr>
              <w:t>Where will it be held?</w:t>
            </w:r>
          </w:p>
        </w:tc>
        <w:tc>
          <w:tcPr>
            <w:tcW w:w="13892" w:type="dxa"/>
          </w:tcPr>
          <w:p w14:paraId="05A2B9E3" w14:textId="11FC7FEA" w:rsidR="00725AAC" w:rsidRPr="00781081" w:rsidRDefault="00725AAC" w:rsidP="00EC3833">
            <w:pPr>
              <w:rPr>
                <w:rFonts w:asciiTheme="minorHAnsi" w:hAnsiTheme="minorHAnsi"/>
                <w:color w:val="1F497D" w:themeColor="text2"/>
                <w:sz w:val="20"/>
                <w:szCs w:val="20"/>
              </w:rPr>
            </w:pPr>
            <w:r w:rsidRPr="00781081">
              <w:rPr>
                <w:rFonts w:asciiTheme="minorHAnsi" w:hAnsiTheme="minorHAnsi"/>
                <w:color w:val="1F497D" w:themeColor="text2"/>
                <w:sz w:val="20"/>
                <w:szCs w:val="20"/>
              </w:rPr>
              <w:t xml:space="preserve">The service is </w:t>
            </w:r>
            <w:r w:rsidR="00A1301B">
              <w:rPr>
                <w:rFonts w:asciiTheme="minorHAnsi" w:hAnsiTheme="minorHAnsi"/>
                <w:color w:val="1F497D" w:themeColor="text2"/>
                <w:sz w:val="20"/>
                <w:szCs w:val="20"/>
              </w:rPr>
              <w:t xml:space="preserve">run from Douglas Sports Centre and </w:t>
            </w:r>
            <w:proofErr w:type="spellStart"/>
            <w:r w:rsidR="00A1301B">
              <w:rPr>
                <w:rFonts w:asciiTheme="minorHAnsi" w:hAnsiTheme="minorHAnsi"/>
                <w:color w:val="1F497D" w:themeColor="text2"/>
                <w:sz w:val="20"/>
                <w:szCs w:val="20"/>
              </w:rPr>
              <w:t>Menzieshill</w:t>
            </w:r>
            <w:proofErr w:type="spellEnd"/>
            <w:r w:rsidR="00A1301B">
              <w:rPr>
                <w:rFonts w:asciiTheme="minorHAnsi" w:hAnsiTheme="minorHAnsi"/>
                <w:color w:val="1F497D" w:themeColor="text2"/>
                <w:sz w:val="20"/>
                <w:szCs w:val="20"/>
              </w:rPr>
              <w:t xml:space="preserve"> Community Centre.</w:t>
            </w:r>
          </w:p>
          <w:p w14:paraId="4EC1E60C" w14:textId="0F71C713" w:rsidR="00725AAC" w:rsidRPr="00781081" w:rsidRDefault="00A1301B" w:rsidP="00EC3833">
            <w:pPr>
              <w:rPr>
                <w:rFonts w:asciiTheme="minorHAnsi" w:hAnsiTheme="minorHAnsi"/>
                <w:color w:val="1F497D" w:themeColor="text2"/>
                <w:sz w:val="20"/>
                <w:szCs w:val="20"/>
              </w:rPr>
            </w:pPr>
            <w:r>
              <w:rPr>
                <w:rFonts w:asciiTheme="minorHAnsi" w:hAnsiTheme="minorHAnsi"/>
                <w:color w:val="1F497D" w:themeColor="text2"/>
                <w:sz w:val="20"/>
                <w:szCs w:val="20"/>
              </w:rPr>
              <w:t>Street League</w:t>
            </w:r>
            <w:r w:rsidR="00725AAC" w:rsidRPr="00781081">
              <w:rPr>
                <w:rFonts w:asciiTheme="minorHAnsi" w:hAnsiTheme="minorHAnsi"/>
                <w:color w:val="1F497D" w:themeColor="text2"/>
                <w:sz w:val="20"/>
                <w:szCs w:val="20"/>
              </w:rPr>
              <w:t xml:space="preserve"> base staff at/in community centres/halls etc. in several locations across the city and engage with clients in their local area where possible and relevant.</w:t>
            </w:r>
          </w:p>
          <w:p w14:paraId="7FA3371E" w14:textId="7786F23E" w:rsidR="00725AAC" w:rsidRPr="00C94ED8" w:rsidRDefault="00725AAC" w:rsidP="00EC3833">
            <w:pPr>
              <w:rPr>
                <w:rFonts w:asciiTheme="minorHAnsi" w:hAnsiTheme="minorHAnsi" w:cs="Arial"/>
                <w:color w:val="1F497D" w:themeColor="text2"/>
                <w:sz w:val="20"/>
                <w:szCs w:val="20"/>
              </w:rPr>
            </w:pPr>
            <w:r>
              <w:rPr>
                <w:rFonts w:asciiTheme="minorHAnsi" w:hAnsiTheme="minorHAnsi"/>
                <w:color w:val="1F497D" w:themeColor="text2"/>
                <w:sz w:val="20"/>
                <w:szCs w:val="20"/>
              </w:rPr>
              <w:t xml:space="preserve">Also libraries, coffee shops &amp; </w:t>
            </w:r>
            <w:r w:rsidRPr="00781081">
              <w:rPr>
                <w:rFonts w:asciiTheme="minorHAnsi" w:hAnsiTheme="minorHAnsi"/>
                <w:color w:val="1F497D" w:themeColor="text2"/>
                <w:sz w:val="20"/>
                <w:szCs w:val="20"/>
              </w:rPr>
              <w:t>other hospitality settings for 1-1 activiti</w:t>
            </w:r>
            <w:r>
              <w:rPr>
                <w:rFonts w:asciiTheme="minorHAnsi" w:hAnsiTheme="minorHAnsi"/>
                <w:color w:val="1F497D" w:themeColor="text2"/>
                <w:sz w:val="20"/>
                <w:szCs w:val="20"/>
              </w:rPr>
              <w:t>es</w:t>
            </w:r>
            <w:r w:rsidRPr="00781081">
              <w:rPr>
                <w:rFonts w:asciiTheme="minorHAnsi" w:hAnsiTheme="minorHAnsi"/>
                <w:color w:val="1F497D" w:themeColor="text2"/>
                <w:sz w:val="20"/>
                <w:szCs w:val="20"/>
              </w:rPr>
              <w:t>.</w:t>
            </w:r>
          </w:p>
          <w:p w14:paraId="33867528" w14:textId="0CBB70E2" w:rsidR="00725AAC" w:rsidRPr="00C94ED8" w:rsidRDefault="00725AAC" w:rsidP="00EC3833">
            <w:pPr>
              <w:rPr>
                <w:rFonts w:asciiTheme="minorHAnsi" w:hAnsiTheme="minorHAnsi"/>
                <w:color w:val="1F497D" w:themeColor="text2"/>
                <w:sz w:val="20"/>
                <w:szCs w:val="20"/>
              </w:rPr>
            </w:pPr>
          </w:p>
          <w:p w14:paraId="04A1044F" w14:textId="4E74CCD9" w:rsidR="00A1301B" w:rsidRDefault="00725AAC" w:rsidP="00EC3833">
            <w:pPr>
              <w:rPr>
                <w:rFonts w:asciiTheme="minorHAnsi" w:hAnsiTheme="minorHAnsi" w:cs="Helvetica"/>
                <w:b/>
                <w:color w:val="1F497D" w:themeColor="text2"/>
                <w:sz w:val="20"/>
                <w:szCs w:val="20"/>
              </w:rPr>
            </w:pPr>
            <w:r w:rsidRPr="00781081">
              <w:rPr>
                <w:rFonts w:asciiTheme="minorHAnsi" w:hAnsiTheme="minorHAnsi" w:cs="Helvetica"/>
                <w:b/>
                <w:color w:val="1F497D" w:themeColor="text2"/>
                <w:sz w:val="20"/>
                <w:szCs w:val="20"/>
                <w:shd w:val="clear" w:color="auto" w:fill="FFFFFF"/>
              </w:rPr>
              <w:t>Monday football</w:t>
            </w:r>
            <w:r w:rsidR="00A1301B">
              <w:rPr>
                <w:rFonts w:asciiTheme="minorHAnsi" w:hAnsiTheme="minorHAnsi" w:cs="Helvetica"/>
                <w:b/>
                <w:color w:val="1F497D" w:themeColor="text2"/>
                <w:sz w:val="20"/>
                <w:szCs w:val="20"/>
                <w:shd w:val="clear" w:color="auto" w:fill="FFFFFF"/>
              </w:rPr>
              <w:t>/fitness</w:t>
            </w:r>
            <w:r w:rsidRPr="00781081">
              <w:rPr>
                <w:rFonts w:asciiTheme="minorHAnsi" w:hAnsiTheme="minorHAnsi" w:cs="Helvetica"/>
                <w:b/>
                <w:color w:val="1F497D" w:themeColor="text2"/>
                <w:sz w:val="20"/>
                <w:szCs w:val="20"/>
                <w:shd w:val="clear" w:color="auto" w:fill="FFFFFF"/>
              </w:rPr>
              <w:t xml:space="preserve"> taster 2-3pm</w:t>
            </w:r>
            <w:r w:rsidR="00A1301B">
              <w:rPr>
                <w:rFonts w:asciiTheme="minorHAnsi" w:hAnsiTheme="minorHAnsi" w:cs="Helvetica"/>
                <w:b/>
                <w:color w:val="1F497D" w:themeColor="text2"/>
                <w:sz w:val="20"/>
                <w:szCs w:val="20"/>
                <w:shd w:val="clear" w:color="auto" w:fill="FFFFFF"/>
              </w:rPr>
              <w:t xml:space="preserve"> </w:t>
            </w:r>
            <w:r w:rsidRPr="00781081">
              <w:rPr>
                <w:rFonts w:asciiTheme="minorHAnsi" w:hAnsiTheme="minorHAnsi" w:cs="Helvetica"/>
                <w:b/>
                <w:color w:val="1F497D" w:themeColor="text2"/>
                <w:sz w:val="20"/>
                <w:szCs w:val="20"/>
                <w:shd w:val="clear" w:color="auto" w:fill="FFFFFF"/>
              </w:rPr>
              <w:t xml:space="preserve">Douglas Sports Centre, </w:t>
            </w:r>
            <w:proofErr w:type="spellStart"/>
            <w:r w:rsidRPr="00781081">
              <w:rPr>
                <w:rFonts w:asciiTheme="minorHAnsi" w:hAnsiTheme="minorHAnsi" w:cs="Helvetica"/>
                <w:b/>
                <w:color w:val="1F497D" w:themeColor="text2"/>
                <w:sz w:val="20"/>
                <w:szCs w:val="20"/>
                <w:shd w:val="clear" w:color="auto" w:fill="FFFFFF"/>
              </w:rPr>
              <w:t>Baldovie</w:t>
            </w:r>
            <w:proofErr w:type="spellEnd"/>
            <w:r w:rsidRPr="00781081">
              <w:rPr>
                <w:rFonts w:asciiTheme="minorHAnsi" w:hAnsiTheme="minorHAnsi" w:cs="Helvetica"/>
                <w:b/>
                <w:color w:val="1F497D" w:themeColor="text2"/>
                <w:sz w:val="20"/>
                <w:szCs w:val="20"/>
                <w:shd w:val="clear" w:color="auto" w:fill="FFFFFF"/>
              </w:rPr>
              <w:t xml:space="preserve"> Terrace, Dundee DD4 8TG</w:t>
            </w:r>
            <w:r>
              <w:rPr>
                <w:rFonts w:asciiTheme="minorHAnsi" w:hAnsiTheme="minorHAnsi" w:cs="Helvetica"/>
                <w:b/>
                <w:color w:val="1F497D" w:themeColor="text2"/>
                <w:sz w:val="20"/>
                <w:szCs w:val="20"/>
              </w:rPr>
              <w:t xml:space="preserve">, </w:t>
            </w:r>
          </w:p>
          <w:p w14:paraId="5B3DED93" w14:textId="1B7AA05D" w:rsidR="00A1301B" w:rsidRDefault="00725AAC" w:rsidP="00EC3833">
            <w:pPr>
              <w:rPr>
                <w:rFonts w:asciiTheme="minorHAnsi" w:hAnsiTheme="minorHAnsi" w:cs="Helvetica"/>
                <w:b/>
                <w:color w:val="1F497D" w:themeColor="text2"/>
                <w:sz w:val="20"/>
                <w:szCs w:val="20"/>
              </w:rPr>
            </w:pPr>
            <w:r w:rsidRPr="00781081">
              <w:rPr>
                <w:rFonts w:asciiTheme="minorHAnsi" w:hAnsiTheme="minorHAnsi" w:cs="Helvetica"/>
                <w:b/>
                <w:color w:val="1F497D" w:themeColor="text2"/>
                <w:sz w:val="20"/>
                <w:szCs w:val="20"/>
                <w:shd w:val="clear" w:color="auto" w:fill="FFFFFF"/>
              </w:rPr>
              <w:t xml:space="preserve">Wednesday </w:t>
            </w:r>
            <w:r w:rsidR="00A1301B">
              <w:rPr>
                <w:rFonts w:asciiTheme="minorHAnsi" w:hAnsiTheme="minorHAnsi" w:cs="Helvetica"/>
                <w:b/>
                <w:color w:val="1F497D" w:themeColor="text2"/>
                <w:sz w:val="20"/>
                <w:szCs w:val="20"/>
                <w:shd w:val="clear" w:color="auto" w:fill="FFFFFF"/>
              </w:rPr>
              <w:t>football</w:t>
            </w:r>
            <w:r w:rsidRPr="00781081">
              <w:rPr>
                <w:rFonts w:asciiTheme="minorHAnsi" w:hAnsiTheme="minorHAnsi" w:cs="Helvetica"/>
                <w:b/>
                <w:color w:val="1F497D" w:themeColor="text2"/>
                <w:sz w:val="20"/>
                <w:szCs w:val="20"/>
                <w:shd w:val="clear" w:color="auto" w:fill="FFFFFF"/>
              </w:rPr>
              <w:t xml:space="preserve"> taster </w:t>
            </w:r>
            <w:r w:rsidR="00A1301B">
              <w:rPr>
                <w:rFonts w:asciiTheme="minorHAnsi" w:hAnsiTheme="minorHAnsi" w:cs="Helvetica"/>
                <w:b/>
                <w:color w:val="1F497D" w:themeColor="text2"/>
                <w:sz w:val="20"/>
                <w:szCs w:val="20"/>
                <w:shd w:val="clear" w:color="auto" w:fill="FFFFFF"/>
              </w:rPr>
              <w:t>1-3</w:t>
            </w:r>
            <w:r w:rsidRPr="00781081">
              <w:rPr>
                <w:rFonts w:asciiTheme="minorHAnsi" w:hAnsiTheme="minorHAnsi" w:cs="Helvetica"/>
                <w:b/>
                <w:color w:val="1F497D" w:themeColor="text2"/>
                <w:sz w:val="20"/>
                <w:szCs w:val="20"/>
                <w:shd w:val="clear" w:color="auto" w:fill="FFFFFF"/>
              </w:rPr>
              <w:t xml:space="preserve">pm  </w:t>
            </w:r>
            <w:proofErr w:type="spellStart"/>
            <w:r w:rsidRPr="00781081">
              <w:rPr>
                <w:rFonts w:asciiTheme="minorHAnsi" w:hAnsiTheme="minorHAnsi" w:cs="Helvetica"/>
                <w:b/>
                <w:color w:val="1F497D" w:themeColor="text2"/>
                <w:sz w:val="20"/>
                <w:szCs w:val="20"/>
                <w:shd w:val="clear" w:color="auto" w:fill="FFFFFF"/>
              </w:rPr>
              <w:t>Menzieshill</w:t>
            </w:r>
            <w:proofErr w:type="spellEnd"/>
            <w:r w:rsidRPr="00781081">
              <w:rPr>
                <w:rFonts w:asciiTheme="minorHAnsi" w:hAnsiTheme="minorHAnsi" w:cs="Helvetica"/>
                <w:b/>
                <w:color w:val="1F497D" w:themeColor="text2"/>
                <w:sz w:val="20"/>
                <w:szCs w:val="20"/>
                <w:shd w:val="clear" w:color="auto" w:fill="FFFFFF"/>
              </w:rPr>
              <w:t xml:space="preserve"> Community Centre Orleans Place, Dundee DD2 4BH</w:t>
            </w:r>
            <w:r>
              <w:rPr>
                <w:rFonts w:asciiTheme="minorHAnsi" w:hAnsiTheme="minorHAnsi" w:cs="Helvetica"/>
                <w:b/>
                <w:color w:val="1F497D" w:themeColor="text2"/>
                <w:sz w:val="20"/>
                <w:szCs w:val="20"/>
              </w:rPr>
              <w:t xml:space="preserve">, </w:t>
            </w:r>
          </w:p>
          <w:p w14:paraId="484951BA" w14:textId="3FE93D05" w:rsidR="00725AAC" w:rsidRPr="00781081" w:rsidRDefault="00725AAC" w:rsidP="00EC3833">
            <w:pPr>
              <w:rPr>
                <w:rFonts w:asciiTheme="minorHAnsi" w:hAnsiTheme="minorHAnsi"/>
                <w:b/>
                <w:color w:val="1F497D" w:themeColor="text2"/>
                <w:sz w:val="20"/>
                <w:szCs w:val="20"/>
              </w:rPr>
            </w:pPr>
          </w:p>
        </w:tc>
      </w:tr>
      <w:tr w:rsidR="00725AAC" w:rsidRPr="00781081" w14:paraId="6BB062C4" w14:textId="77777777" w:rsidTr="00EC3833">
        <w:tc>
          <w:tcPr>
            <w:tcW w:w="1951" w:type="dxa"/>
            <w:shd w:val="clear" w:color="auto" w:fill="FBD4B4" w:themeFill="accent6" w:themeFillTint="66"/>
          </w:tcPr>
          <w:p w14:paraId="5739AA9D" w14:textId="77777777" w:rsidR="00725AAC" w:rsidRPr="00781081" w:rsidRDefault="00725AAC" w:rsidP="00EC3833">
            <w:pPr>
              <w:rPr>
                <w:rFonts w:asciiTheme="minorHAnsi" w:hAnsiTheme="minorHAnsi"/>
                <w:b/>
                <w:color w:val="1F497D" w:themeColor="text2"/>
                <w:sz w:val="20"/>
                <w:szCs w:val="20"/>
              </w:rPr>
            </w:pPr>
            <w:r w:rsidRPr="00781081">
              <w:rPr>
                <w:rFonts w:asciiTheme="minorHAnsi" w:hAnsiTheme="minorHAnsi"/>
                <w:b/>
                <w:color w:val="1F497D" w:themeColor="text2"/>
                <w:sz w:val="20"/>
                <w:szCs w:val="20"/>
              </w:rPr>
              <w:t>How do we refer?</w:t>
            </w:r>
          </w:p>
        </w:tc>
        <w:tc>
          <w:tcPr>
            <w:tcW w:w="13892" w:type="dxa"/>
            <w:shd w:val="clear" w:color="auto" w:fill="FBD4B4" w:themeFill="accent6" w:themeFillTint="66"/>
          </w:tcPr>
          <w:p w14:paraId="5A533DC6" w14:textId="77777777" w:rsidR="00725AAC" w:rsidRPr="00781081" w:rsidRDefault="00725AAC" w:rsidP="00EC3833">
            <w:pPr>
              <w:rPr>
                <w:rFonts w:asciiTheme="minorHAnsi" w:hAnsiTheme="minorHAnsi"/>
                <w:color w:val="1F497D" w:themeColor="text2"/>
                <w:sz w:val="20"/>
                <w:szCs w:val="20"/>
              </w:rPr>
            </w:pPr>
            <w:r w:rsidRPr="00781081">
              <w:rPr>
                <w:rFonts w:asciiTheme="minorHAnsi" w:hAnsiTheme="minorHAnsi"/>
                <w:color w:val="1F497D" w:themeColor="text2"/>
                <w:sz w:val="20"/>
                <w:szCs w:val="20"/>
              </w:rPr>
              <w:t>The referral process is very flexible – the intention is to meet with potential participants face to face to allow for an informal discussion.</w:t>
            </w:r>
          </w:p>
          <w:p w14:paraId="4675AE9E" w14:textId="77777777" w:rsidR="00725AAC" w:rsidRPr="00781081" w:rsidRDefault="00725AAC" w:rsidP="00EC3833">
            <w:pPr>
              <w:rPr>
                <w:rFonts w:asciiTheme="minorHAnsi" w:hAnsiTheme="minorHAnsi"/>
                <w:color w:val="1F497D" w:themeColor="text2"/>
                <w:sz w:val="20"/>
                <w:szCs w:val="20"/>
              </w:rPr>
            </w:pPr>
            <w:r w:rsidRPr="00781081">
              <w:rPr>
                <w:rFonts w:asciiTheme="minorHAnsi" w:hAnsiTheme="minorHAnsi"/>
                <w:color w:val="1F497D" w:themeColor="text2"/>
                <w:sz w:val="20"/>
                <w:szCs w:val="20"/>
              </w:rPr>
              <w:t>We welcome email or telephone contact in the first instance. Weekly taster sessions for those interested in joining our provision to attend and participate in free sport activity and get to meet our staff etc. People can attend these sessions regularly before registration to any ‘formal’ programme.</w:t>
            </w:r>
          </w:p>
          <w:p w14:paraId="2BB8CD80" w14:textId="77777777" w:rsidR="00725AAC" w:rsidRPr="00781081" w:rsidRDefault="00725AAC" w:rsidP="00EC3833">
            <w:pPr>
              <w:rPr>
                <w:rFonts w:asciiTheme="minorHAnsi" w:hAnsiTheme="minorHAnsi"/>
                <w:color w:val="1F497D" w:themeColor="text2"/>
                <w:sz w:val="20"/>
                <w:szCs w:val="20"/>
              </w:rPr>
            </w:pPr>
            <w:r w:rsidRPr="00781081">
              <w:rPr>
                <w:rFonts w:asciiTheme="minorHAnsi" w:hAnsiTheme="minorHAnsi"/>
                <w:color w:val="1F497D" w:themeColor="text2"/>
                <w:sz w:val="20"/>
                <w:szCs w:val="20"/>
              </w:rPr>
              <w:t>The Street League website has the facility to enquire about accessing our services in local areas, and we have a strong social media presence.</w:t>
            </w:r>
          </w:p>
        </w:tc>
      </w:tr>
      <w:tr w:rsidR="00725AAC" w:rsidRPr="00781081" w14:paraId="527F9520" w14:textId="77777777" w:rsidTr="00EC3833">
        <w:tc>
          <w:tcPr>
            <w:tcW w:w="1951" w:type="dxa"/>
          </w:tcPr>
          <w:p w14:paraId="68C9ED0A" w14:textId="77777777" w:rsidR="00725AAC" w:rsidRPr="00781081" w:rsidRDefault="00725AAC" w:rsidP="00EC3833">
            <w:pPr>
              <w:rPr>
                <w:rFonts w:asciiTheme="minorHAnsi" w:hAnsiTheme="minorHAnsi"/>
                <w:b/>
                <w:color w:val="1F497D" w:themeColor="text2"/>
                <w:sz w:val="20"/>
                <w:szCs w:val="20"/>
              </w:rPr>
            </w:pPr>
            <w:r w:rsidRPr="00781081">
              <w:rPr>
                <w:rFonts w:asciiTheme="minorHAnsi" w:hAnsiTheme="minorHAnsi"/>
                <w:b/>
                <w:color w:val="1F497D" w:themeColor="text2"/>
                <w:sz w:val="20"/>
                <w:szCs w:val="20"/>
              </w:rPr>
              <w:t>Contact Details</w:t>
            </w:r>
          </w:p>
        </w:tc>
        <w:tc>
          <w:tcPr>
            <w:tcW w:w="13892" w:type="dxa"/>
          </w:tcPr>
          <w:p w14:paraId="67C2C0B4" w14:textId="4CBF48D7" w:rsidR="00A1301B" w:rsidRDefault="00A1301B" w:rsidP="00EC3833">
            <w:pPr>
              <w:rPr>
                <w:rFonts w:asciiTheme="minorHAnsi" w:hAnsiTheme="minorHAnsi"/>
                <w:color w:val="1F497D" w:themeColor="text2"/>
                <w:sz w:val="20"/>
                <w:szCs w:val="20"/>
              </w:rPr>
            </w:pPr>
            <w:r>
              <w:rPr>
                <w:rFonts w:asciiTheme="minorHAnsi" w:hAnsiTheme="minorHAnsi"/>
                <w:color w:val="1F497D" w:themeColor="text2"/>
                <w:sz w:val="20"/>
                <w:szCs w:val="20"/>
              </w:rPr>
              <w:t xml:space="preserve">Cheryl Jenkins, operations Manager – 07826518462     </w:t>
            </w:r>
            <w:hyperlink r:id="rId5" w:history="1">
              <w:r w:rsidRPr="00676237">
                <w:rPr>
                  <w:rStyle w:val="Hyperlink"/>
                  <w:rFonts w:asciiTheme="minorHAnsi" w:hAnsiTheme="minorHAnsi"/>
                  <w:sz w:val="20"/>
                  <w:szCs w:val="20"/>
                </w:rPr>
                <w:t>cheryl.jenkins@streetleague.co.uk</w:t>
              </w:r>
            </w:hyperlink>
          </w:p>
          <w:p w14:paraId="42C6A750" w14:textId="01573A2E" w:rsidR="00725AAC" w:rsidRPr="00781081" w:rsidRDefault="00A1301B" w:rsidP="00EC3833">
            <w:pPr>
              <w:rPr>
                <w:rFonts w:asciiTheme="minorHAnsi" w:hAnsiTheme="minorHAnsi"/>
                <w:color w:val="1F497D" w:themeColor="text2"/>
                <w:sz w:val="20"/>
                <w:szCs w:val="20"/>
              </w:rPr>
            </w:pPr>
            <w:r>
              <w:rPr>
                <w:rFonts w:asciiTheme="minorHAnsi" w:hAnsiTheme="minorHAnsi"/>
                <w:color w:val="1F497D" w:themeColor="text2"/>
                <w:sz w:val="20"/>
                <w:szCs w:val="20"/>
              </w:rPr>
              <w:t>Jordan McMahon, Progressions Co-ordinator – 07789917205     jordan.mcmahon@streetleague.co.uk</w:t>
            </w:r>
            <w:r w:rsidR="00725AAC" w:rsidRPr="00781081">
              <w:rPr>
                <w:rFonts w:asciiTheme="minorHAnsi" w:hAnsiTheme="minorHAnsi"/>
                <w:color w:val="1F497D" w:themeColor="text2"/>
                <w:sz w:val="20"/>
                <w:szCs w:val="20"/>
              </w:rPr>
              <w:t xml:space="preserve"> </w:t>
            </w:r>
          </w:p>
          <w:p w14:paraId="5A0D7CF4" w14:textId="77777777" w:rsidR="00725AAC" w:rsidRPr="00781081" w:rsidRDefault="00725AAC" w:rsidP="00EC3833">
            <w:pPr>
              <w:rPr>
                <w:rFonts w:asciiTheme="minorHAnsi" w:hAnsiTheme="minorHAnsi"/>
                <w:color w:val="1F497D" w:themeColor="text2"/>
                <w:sz w:val="20"/>
                <w:szCs w:val="20"/>
              </w:rPr>
            </w:pPr>
            <w:r w:rsidRPr="00781081">
              <w:rPr>
                <w:rFonts w:asciiTheme="minorHAnsi" w:hAnsiTheme="minorHAnsi"/>
                <w:color w:val="1F497D" w:themeColor="text2"/>
                <w:sz w:val="20"/>
                <w:szCs w:val="20"/>
              </w:rPr>
              <w:t xml:space="preserve">Suite 16 </w:t>
            </w:r>
            <w:proofErr w:type="spellStart"/>
            <w:r w:rsidRPr="00781081">
              <w:rPr>
                <w:rFonts w:asciiTheme="minorHAnsi" w:hAnsiTheme="minorHAnsi"/>
                <w:color w:val="1F497D" w:themeColor="text2"/>
                <w:sz w:val="20"/>
                <w:szCs w:val="20"/>
              </w:rPr>
              <w:t>Marketgait</w:t>
            </w:r>
            <w:proofErr w:type="spellEnd"/>
            <w:r w:rsidRPr="00781081">
              <w:rPr>
                <w:rFonts w:asciiTheme="minorHAnsi" w:hAnsiTheme="minorHAnsi"/>
                <w:color w:val="1F497D" w:themeColor="text2"/>
                <w:sz w:val="20"/>
                <w:szCs w:val="20"/>
              </w:rPr>
              <w:t xml:space="preserve"> Business Centre, 152 West </w:t>
            </w:r>
            <w:proofErr w:type="spellStart"/>
            <w:r w:rsidRPr="00781081">
              <w:rPr>
                <w:rFonts w:asciiTheme="minorHAnsi" w:hAnsiTheme="minorHAnsi"/>
                <w:color w:val="1F497D" w:themeColor="text2"/>
                <w:sz w:val="20"/>
                <w:szCs w:val="20"/>
              </w:rPr>
              <w:t>Marketgait</w:t>
            </w:r>
            <w:proofErr w:type="spellEnd"/>
            <w:r w:rsidRPr="00781081">
              <w:rPr>
                <w:rFonts w:asciiTheme="minorHAnsi" w:hAnsiTheme="minorHAnsi"/>
                <w:color w:val="1F497D" w:themeColor="text2"/>
                <w:sz w:val="20"/>
                <w:szCs w:val="20"/>
              </w:rPr>
              <w:t xml:space="preserve">, Dundee, DD1 1NJ </w:t>
            </w:r>
            <w:hyperlink r:id="rId6" w:history="1">
              <w:r w:rsidRPr="00781081">
                <w:rPr>
                  <w:rStyle w:val="Hyperlink"/>
                  <w:rFonts w:asciiTheme="minorHAnsi" w:hAnsiTheme="minorHAnsi"/>
                  <w:color w:val="1F497D" w:themeColor="text2"/>
                  <w:sz w:val="20"/>
                  <w:szCs w:val="20"/>
                </w:rPr>
                <w:t>www.streetleague.co.uk</w:t>
              </w:r>
            </w:hyperlink>
            <w:r>
              <w:rPr>
                <w:rFonts w:asciiTheme="minorHAnsi" w:hAnsiTheme="minorHAnsi"/>
                <w:color w:val="1F497D" w:themeColor="text2"/>
                <w:sz w:val="20"/>
                <w:szCs w:val="20"/>
              </w:rPr>
              <w:t xml:space="preserve"> </w:t>
            </w:r>
          </w:p>
        </w:tc>
      </w:tr>
      <w:tr w:rsidR="00725AAC" w:rsidRPr="00781081" w14:paraId="3787C6EF" w14:textId="77777777" w:rsidTr="00EC3833">
        <w:tc>
          <w:tcPr>
            <w:tcW w:w="1951" w:type="dxa"/>
            <w:shd w:val="clear" w:color="auto" w:fill="FBD4B4" w:themeFill="accent6" w:themeFillTint="66"/>
          </w:tcPr>
          <w:p w14:paraId="0388C977" w14:textId="77777777" w:rsidR="00725AAC" w:rsidRPr="00781081" w:rsidRDefault="00725AAC" w:rsidP="00EC3833">
            <w:pPr>
              <w:rPr>
                <w:rFonts w:asciiTheme="minorHAnsi" w:hAnsiTheme="minorHAnsi"/>
                <w:b/>
                <w:color w:val="1F497D" w:themeColor="text2"/>
                <w:sz w:val="20"/>
                <w:szCs w:val="20"/>
              </w:rPr>
            </w:pPr>
            <w:r w:rsidRPr="00781081">
              <w:rPr>
                <w:rFonts w:asciiTheme="minorHAnsi" w:hAnsiTheme="minorHAnsi"/>
                <w:b/>
                <w:color w:val="1F497D" w:themeColor="text2"/>
                <w:sz w:val="20"/>
                <w:szCs w:val="20"/>
              </w:rPr>
              <w:t>Stages Covered</w:t>
            </w:r>
          </w:p>
        </w:tc>
        <w:tc>
          <w:tcPr>
            <w:tcW w:w="13892" w:type="dxa"/>
            <w:shd w:val="clear" w:color="auto" w:fill="FBD4B4" w:themeFill="accent6" w:themeFillTint="66"/>
          </w:tcPr>
          <w:p w14:paraId="31A58FBB" w14:textId="77777777" w:rsidR="00725AAC" w:rsidRPr="00781081" w:rsidRDefault="00725AAC" w:rsidP="00EC3833">
            <w:pPr>
              <w:rPr>
                <w:rFonts w:asciiTheme="minorHAnsi" w:hAnsiTheme="minorHAnsi"/>
                <w:color w:val="1F497D" w:themeColor="text2"/>
                <w:sz w:val="20"/>
                <w:szCs w:val="20"/>
              </w:rPr>
            </w:pPr>
            <w:r w:rsidRPr="00781081">
              <w:rPr>
                <w:rFonts w:asciiTheme="minorHAnsi" w:hAnsiTheme="minorHAnsi"/>
                <w:color w:val="1F497D" w:themeColor="text2"/>
                <w:sz w:val="20"/>
                <w:szCs w:val="20"/>
              </w:rPr>
              <w:t>1, 2</w:t>
            </w:r>
          </w:p>
        </w:tc>
      </w:tr>
      <w:tr w:rsidR="00725AAC" w:rsidRPr="00781081" w14:paraId="4659DD9C" w14:textId="77777777" w:rsidTr="00EC3833">
        <w:tc>
          <w:tcPr>
            <w:tcW w:w="15843" w:type="dxa"/>
            <w:gridSpan w:val="2"/>
          </w:tcPr>
          <w:p w14:paraId="6EE79C08" w14:textId="77777777" w:rsidR="00725AAC" w:rsidRPr="00781081" w:rsidRDefault="00725AAC" w:rsidP="00EC3833">
            <w:pPr>
              <w:rPr>
                <w:rFonts w:asciiTheme="minorHAnsi" w:hAnsiTheme="minorHAnsi"/>
                <w:color w:val="1F497D" w:themeColor="text2"/>
                <w:sz w:val="20"/>
                <w:szCs w:val="20"/>
              </w:rPr>
            </w:pPr>
            <w:r w:rsidRPr="00781081">
              <w:rPr>
                <w:rFonts w:asciiTheme="minorHAnsi" w:hAnsiTheme="minorHAnsi"/>
                <w:color w:val="1F497D" w:themeColor="text2"/>
                <w:sz w:val="20"/>
                <w:szCs w:val="20"/>
              </w:rPr>
              <w:t>Additional Information</w:t>
            </w:r>
            <w:r>
              <w:rPr>
                <w:rFonts w:asciiTheme="minorHAnsi" w:hAnsiTheme="minorHAnsi"/>
                <w:color w:val="1F497D" w:themeColor="text2"/>
              </w:rPr>
              <w:t xml:space="preserve"> </w:t>
            </w:r>
            <w:r w:rsidRPr="00061B7A">
              <w:rPr>
                <w:rFonts w:asciiTheme="minorHAnsi" w:hAnsiTheme="minorHAnsi"/>
                <w:color w:val="1F497D" w:themeColor="text2"/>
                <w:sz w:val="20"/>
                <w:szCs w:val="20"/>
              </w:rPr>
              <w:t>This project is part funded by the European Structural &amp; Investment Funds – namely the European Social Fund (ESF)</w:t>
            </w:r>
          </w:p>
        </w:tc>
      </w:tr>
    </w:tbl>
    <w:p w14:paraId="00978982" w14:textId="77777777" w:rsidR="00472BF7" w:rsidRDefault="00472BF7"/>
    <w:sectPr w:rsidR="00472BF7" w:rsidSect="00E95FE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764D5"/>
    <w:multiLevelType w:val="hybridMultilevel"/>
    <w:tmpl w:val="35624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EE"/>
    <w:rsid w:val="00472BF7"/>
    <w:rsid w:val="00725AAC"/>
    <w:rsid w:val="00A1301B"/>
    <w:rsid w:val="00E95FEE"/>
    <w:rsid w:val="00EC0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9CFC"/>
  <w15:docId w15:val="{F8F975A5-2678-4EA4-B4E6-300F84E0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F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5FEE"/>
    <w:rPr>
      <w:color w:val="0000FF" w:themeColor="hyperlink"/>
      <w:u w:val="single"/>
    </w:rPr>
  </w:style>
  <w:style w:type="paragraph" w:styleId="ListParagraph">
    <w:name w:val="List Paragraph"/>
    <w:basedOn w:val="Normal"/>
    <w:uiPriority w:val="34"/>
    <w:qFormat/>
    <w:rsid w:val="00E95FE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UnresolvedMention">
    <w:name w:val="Unresolved Mention"/>
    <w:basedOn w:val="DefaultParagraphFont"/>
    <w:uiPriority w:val="99"/>
    <w:semiHidden/>
    <w:unhideWhenUsed/>
    <w:rsid w:val="00A13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reetleague.co.uk" TargetMode="External"/><Relationship Id="rId5" Type="http://schemas.openxmlformats.org/officeDocument/2006/relationships/hyperlink" Target="mailto:cheryl.jenkins@streetleagu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3289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gee</dc:creator>
  <cp:lastModifiedBy>Lara Walker</cp:lastModifiedBy>
  <cp:revision>2</cp:revision>
  <dcterms:created xsi:type="dcterms:W3CDTF">2018-11-07T10:15:00Z</dcterms:created>
  <dcterms:modified xsi:type="dcterms:W3CDTF">2018-11-07T10:15:00Z</dcterms:modified>
</cp:coreProperties>
</file>