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B1" w:rsidRPr="00703DAE" w:rsidRDefault="00080EB1" w:rsidP="00080EB1">
      <w:pPr>
        <w:rPr>
          <w:rFonts w:asciiTheme="minorHAnsi" w:hAnsiTheme="minorHAnsi"/>
          <w:color w:val="1F497D" w:themeColor="text2"/>
          <w:sz w:val="28"/>
        </w:rPr>
      </w:pPr>
      <w:r w:rsidRPr="00703DAE">
        <w:rPr>
          <w:rFonts w:asciiTheme="minorHAnsi" w:hAnsiTheme="minorHAnsi"/>
          <w:b/>
          <w:color w:val="1F497D" w:themeColor="text2"/>
          <w:sz w:val="28"/>
        </w:rPr>
        <w:t>Venture Trust – Positive Futures</w:t>
      </w:r>
    </w:p>
    <w:tbl>
      <w:tblPr>
        <w:tblStyle w:val="TableGrid"/>
        <w:tblW w:w="15843" w:type="dxa"/>
        <w:tblLook w:val="04A0" w:firstRow="1" w:lastRow="0" w:firstColumn="1" w:lastColumn="0" w:noHBand="0" w:noVBand="1"/>
      </w:tblPr>
      <w:tblGrid>
        <w:gridCol w:w="2660"/>
        <w:gridCol w:w="13183"/>
      </w:tblGrid>
      <w:tr w:rsidR="00080EB1" w:rsidRPr="00703DAE" w:rsidTr="00EC3833">
        <w:tc>
          <w:tcPr>
            <w:tcW w:w="15843" w:type="dxa"/>
            <w:gridSpan w:val="2"/>
            <w:shd w:val="clear" w:color="auto" w:fill="FBD4B4" w:themeFill="accent6" w:themeFillTint="66"/>
          </w:tcPr>
          <w:p w:rsidR="00080EB1" w:rsidRPr="00EB1FF6" w:rsidRDefault="00080EB1"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Specialist Support for: Jobless residents in Dundee aged 16-64 who are ex- service men or women</w:t>
            </w:r>
          </w:p>
        </w:tc>
      </w:tr>
      <w:tr w:rsidR="00080EB1" w:rsidRPr="00703DAE" w:rsidTr="00EC3833">
        <w:tc>
          <w:tcPr>
            <w:tcW w:w="2660" w:type="dxa"/>
          </w:tcPr>
          <w:p w:rsidR="00080EB1" w:rsidRPr="00EB1FF6" w:rsidRDefault="00080EB1"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What are we doing and how are we doing it?</w:t>
            </w:r>
          </w:p>
        </w:tc>
        <w:tc>
          <w:tcPr>
            <w:tcW w:w="13183" w:type="dxa"/>
          </w:tcPr>
          <w:p w:rsidR="00080EB1" w:rsidRPr="00EB1FF6" w:rsidRDefault="00080EB1" w:rsidP="00EC3833">
            <w:pPr>
              <w:rPr>
                <w:rFonts w:asciiTheme="minorHAnsi" w:hAnsiTheme="minorHAnsi"/>
                <w:color w:val="1F497D" w:themeColor="text2"/>
                <w:sz w:val="20"/>
                <w:szCs w:val="20"/>
              </w:rPr>
            </w:pPr>
          </w:p>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Outreach workers complete detailed needs assessments to ensure eligibility for the programme and engage clients on the programme. Stage 1 programme includes 1:to:1, group work sessions, phone and text to build a trusting relationship. Sessions focus on:  </w:t>
            </w:r>
          </w:p>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w:t>
            </w:r>
            <w:r w:rsidRPr="00EB1FF6">
              <w:rPr>
                <w:rFonts w:asciiTheme="minorHAnsi" w:hAnsiTheme="minorHAnsi"/>
                <w:color w:val="1F497D" w:themeColor="text2"/>
                <w:sz w:val="20"/>
                <w:szCs w:val="20"/>
              </w:rPr>
              <w:tab/>
              <w:t>Initial goal-setting – through 1-to-1 sessions plus referrer information, forms basis of personalised Action Plan</w:t>
            </w:r>
          </w:p>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w:t>
            </w:r>
            <w:r w:rsidRPr="00EB1FF6">
              <w:rPr>
                <w:rFonts w:asciiTheme="minorHAnsi" w:hAnsiTheme="minorHAnsi"/>
                <w:color w:val="1F497D" w:themeColor="text2"/>
                <w:sz w:val="20"/>
                <w:szCs w:val="20"/>
              </w:rPr>
              <w:tab/>
              <w:t>Initial barrier removal – coaching to begin changing negative behaviours, plus inter-agency work/sign-posting where required (e.g. liaison with housing providers/teams to stabilise accommodation situation; with lawyers re. court dates/charges; with substance abuse services to stabilise or reduce drug/alcohol consumption).</w:t>
            </w:r>
          </w:p>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w:t>
            </w:r>
            <w:r w:rsidRPr="00EB1FF6">
              <w:rPr>
                <w:rFonts w:asciiTheme="minorHAnsi" w:hAnsiTheme="minorHAnsi"/>
                <w:color w:val="1F497D" w:themeColor="text2"/>
                <w:sz w:val="20"/>
                <w:szCs w:val="20"/>
              </w:rPr>
              <w:tab/>
              <w:t>flexible 1-to-1 personal development sessions to develop aspiration, goal setting, &amp; support initial barrier removal.</w:t>
            </w:r>
          </w:p>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The objective is to prepare &amp; progress clients towards Stage 2 services, either with Venture Trust or other providers, and/or to link clients into relevant services where longer-term barrier removal is required first.  There is a flexible timeframe (4-12 weeks) reviewed regularly with each client, with intensity of support varied according to individual need, circumstances &amp; pace of progression towards Stage 2.</w:t>
            </w:r>
          </w:p>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With additional community-based 1-to-1 support and groupwork sessions by outreach teams, clients are prepared for a 5 day wilderness based personal development and coreskills training course. The courses also offer time, space and 1-to-1 support away from daily pressures, to reflect on lifestyle changes, behaviours, aspirations &amp; latent skills to move forward in whatever aspects of life, learning or work that the individual has identified in their personal goals.  Each client leaves with a revised personal Action Plan for use at home, plus a personalised progress report shared with referral partners.  </w:t>
            </w:r>
          </w:p>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Upon return home, aftercare support (in the form of 1-to-1 mentoring, advice, pastoral support &amp; encouragement from their designated outreach worker) is guided by a client’s original goals &amp; Action Plan.  Additional sign-posting &amp; brokered access to a wide range of services, agencies &amp; groups is undertaken according to individual need.  Clients may also access our series of ‘Speak Up’ employability sessions, focusing upon verbal presentation in group settings, interview skills, &amp; ‘speaking up’ in writing via covering letters, CVs or applications.  </w:t>
            </w:r>
          </w:p>
        </w:tc>
      </w:tr>
      <w:tr w:rsidR="00080EB1" w:rsidRPr="00703DAE" w:rsidTr="00EC3833">
        <w:tc>
          <w:tcPr>
            <w:tcW w:w="2660" w:type="dxa"/>
            <w:shd w:val="clear" w:color="auto" w:fill="FBD4B4" w:themeFill="accent6" w:themeFillTint="66"/>
          </w:tcPr>
          <w:p w:rsidR="00080EB1" w:rsidRPr="00EB1FF6" w:rsidRDefault="00080EB1"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Who’s Eligible?</w:t>
            </w:r>
          </w:p>
        </w:tc>
        <w:tc>
          <w:tcPr>
            <w:tcW w:w="13183" w:type="dxa"/>
            <w:shd w:val="clear" w:color="auto" w:fill="FBD4B4" w:themeFill="accent6" w:themeFillTint="66"/>
          </w:tcPr>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All clients are 16-64 unemployed or economically inactive and ex-service men and women who are struggling with the transition to civilian life.</w:t>
            </w:r>
          </w:p>
        </w:tc>
      </w:tr>
      <w:tr w:rsidR="00080EB1" w:rsidRPr="00703DAE" w:rsidTr="00EC3833">
        <w:tc>
          <w:tcPr>
            <w:tcW w:w="2660" w:type="dxa"/>
          </w:tcPr>
          <w:p w:rsidR="00080EB1" w:rsidRPr="00EB1FF6" w:rsidRDefault="00080EB1"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Target Audience:</w:t>
            </w:r>
          </w:p>
        </w:tc>
        <w:tc>
          <w:tcPr>
            <w:tcW w:w="13183" w:type="dxa"/>
          </w:tcPr>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 xml:space="preserve">Clients are aged 16-64 and ex-service men and women.  </w:t>
            </w:r>
          </w:p>
        </w:tc>
      </w:tr>
      <w:tr w:rsidR="00080EB1" w:rsidRPr="00703DAE" w:rsidTr="00EC3833">
        <w:tc>
          <w:tcPr>
            <w:tcW w:w="2660" w:type="dxa"/>
            <w:shd w:val="clear" w:color="auto" w:fill="FBD4B4" w:themeFill="accent6" w:themeFillTint="66"/>
          </w:tcPr>
          <w:p w:rsidR="00080EB1" w:rsidRPr="00EB1FF6" w:rsidRDefault="00080EB1"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When can we apply?</w:t>
            </w:r>
          </w:p>
        </w:tc>
        <w:tc>
          <w:tcPr>
            <w:tcW w:w="13183" w:type="dxa"/>
            <w:shd w:val="clear" w:color="auto" w:fill="FBD4B4" w:themeFill="accent6" w:themeFillTint="66"/>
          </w:tcPr>
          <w:p w:rsidR="00080EB1" w:rsidRPr="00EB1FF6" w:rsidRDefault="00080EB1" w:rsidP="00EC3833">
            <w:pPr>
              <w:rPr>
                <w:rFonts w:asciiTheme="minorHAnsi" w:hAnsiTheme="minorHAnsi"/>
                <w:color w:val="1F497D" w:themeColor="text2"/>
                <w:sz w:val="20"/>
                <w:szCs w:val="20"/>
              </w:rPr>
            </w:pPr>
            <w:r>
              <w:rPr>
                <w:rFonts w:asciiTheme="minorHAnsi" w:hAnsiTheme="minorHAnsi"/>
                <w:color w:val="1F497D" w:themeColor="text2"/>
                <w:sz w:val="20"/>
                <w:szCs w:val="20"/>
              </w:rPr>
              <w:t>Office hours</w:t>
            </w:r>
          </w:p>
        </w:tc>
      </w:tr>
      <w:tr w:rsidR="00080EB1" w:rsidRPr="00703DAE" w:rsidTr="00EC3833">
        <w:tc>
          <w:tcPr>
            <w:tcW w:w="2660" w:type="dxa"/>
          </w:tcPr>
          <w:p w:rsidR="00080EB1" w:rsidRPr="00EB1FF6" w:rsidRDefault="00080EB1" w:rsidP="00EC3833">
            <w:pPr>
              <w:rPr>
                <w:rFonts w:asciiTheme="minorHAnsi" w:hAnsiTheme="minorHAnsi"/>
                <w:b/>
                <w:color w:val="1F497D" w:themeColor="text2"/>
                <w:sz w:val="20"/>
                <w:szCs w:val="20"/>
              </w:rPr>
            </w:pPr>
            <w:r w:rsidRPr="00EB1FF6">
              <w:rPr>
                <w:rFonts w:asciiTheme="minorHAnsi" w:hAnsiTheme="minorHAnsi"/>
                <w:b/>
                <w:color w:val="1F497D" w:themeColor="text2"/>
                <w:sz w:val="20"/>
                <w:szCs w:val="20"/>
              </w:rPr>
              <w:t>Where will it be held?</w:t>
            </w:r>
          </w:p>
        </w:tc>
        <w:tc>
          <w:tcPr>
            <w:tcW w:w="13183" w:type="dxa"/>
          </w:tcPr>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Outreach workers based in Dundee</w:t>
            </w:r>
          </w:p>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Programme combines initial flexible community-based 1-to-1 support focusing on early engagement, needs assessment, caseworking &amp; initial action planning (Stage1), &amp; then Stage 2 which combines 1:to;1 sessions, with an 5 day wilderness-based personal development residential journey designed to provide time and space outside the usual familiar surroundings, to develop new skills, and to gain confidence and independence.</w:t>
            </w:r>
          </w:p>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The programme helps participants to negotiate barriers, gain some control of the situations that they might find themselves in, and to work towards achieving their personal goals. These could be applying skills learnt within the military; finding a home, rebuilding broken relationships; working towards living a healthy, safe and stable life; retraining or applying for a job; or utilising their skills through volunteering.</w:t>
            </w:r>
          </w:p>
        </w:tc>
      </w:tr>
      <w:tr w:rsidR="00080EB1" w:rsidRPr="00703DAE" w:rsidTr="00EC3833">
        <w:tc>
          <w:tcPr>
            <w:tcW w:w="2660" w:type="dxa"/>
            <w:shd w:val="clear" w:color="auto" w:fill="FBD4B4" w:themeFill="accent6" w:themeFillTint="66"/>
          </w:tcPr>
          <w:p w:rsidR="00080EB1" w:rsidRPr="00703DAE" w:rsidRDefault="00080EB1"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3183" w:type="dxa"/>
            <w:shd w:val="clear" w:color="auto" w:fill="FBD4B4" w:themeFill="accent6" w:themeFillTint="66"/>
          </w:tcPr>
          <w:p w:rsidR="00080EB1" w:rsidRPr="00EB1FF6" w:rsidRDefault="00080EB1" w:rsidP="00EC3833">
            <w:pPr>
              <w:rPr>
                <w:rFonts w:asciiTheme="minorHAnsi" w:hAnsiTheme="minorHAnsi"/>
                <w:color w:val="1F497D" w:themeColor="text2"/>
                <w:sz w:val="20"/>
                <w:szCs w:val="20"/>
              </w:rPr>
            </w:pPr>
            <w:r w:rsidRPr="00EB1FF6">
              <w:rPr>
                <w:rFonts w:asciiTheme="minorHAnsi" w:hAnsiTheme="minorHAnsi"/>
                <w:color w:val="1F497D" w:themeColor="text2"/>
                <w:sz w:val="20"/>
                <w:szCs w:val="20"/>
              </w:rPr>
              <w:t>Re</w:t>
            </w:r>
            <w:r>
              <w:rPr>
                <w:rFonts w:asciiTheme="minorHAnsi" w:hAnsiTheme="minorHAnsi"/>
                <w:color w:val="1F497D" w:themeColor="text2"/>
                <w:sz w:val="20"/>
                <w:szCs w:val="20"/>
              </w:rPr>
              <w:t>f</w:t>
            </w:r>
            <w:r w:rsidRPr="00EB1FF6">
              <w:rPr>
                <w:rFonts w:asciiTheme="minorHAnsi" w:hAnsiTheme="minorHAnsi"/>
                <w:color w:val="1F497D" w:themeColor="text2"/>
                <w:sz w:val="20"/>
                <w:szCs w:val="20"/>
              </w:rPr>
              <w:t>errals can be made by contacting either: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8"/>
              <w:gridCol w:w="5838"/>
            </w:tblGrid>
            <w:tr w:rsidR="00080EB1" w:rsidRPr="00EB1FF6" w:rsidTr="00EC3833">
              <w:tc>
                <w:tcPr>
                  <w:tcW w:w="5838" w:type="dxa"/>
                </w:tcPr>
                <w:p w:rsidR="00080EB1" w:rsidRPr="00EB1FF6" w:rsidRDefault="00080EB1" w:rsidP="00EC3833">
                  <w:pPr>
                    <w:rPr>
                      <w:color w:val="1F497D" w:themeColor="text2"/>
                      <w:sz w:val="20"/>
                      <w:szCs w:val="20"/>
                    </w:rPr>
                  </w:pPr>
                  <w:r w:rsidRPr="00EB1FF6">
                    <w:rPr>
                      <w:rFonts w:asciiTheme="minorHAnsi" w:hAnsiTheme="minorHAnsi"/>
                      <w:color w:val="1F497D" w:themeColor="text2"/>
                      <w:sz w:val="20"/>
                      <w:szCs w:val="20"/>
                    </w:rPr>
                    <w:t>Clare Dyer</w:t>
                  </w:r>
                </w:p>
              </w:tc>
              <w:tc>
                <w:tcPr>
                  <w:tcW w:w="5838" w:type="dxa"/>
                </w:tcPr>
                <w:p w:rsidR="00080EB1" w:rsidRPr="00EB1FF6" w:rsidRDefault="00080EB1" w:rsidP="00EC3833">
                  <w:pPr>
                    <w:rPr>
                      <w:color w:val="1F497D" w:themeColor="text2"/>
                      <w:sz w:val="20"/>
                      <w:szCs w:val="20"/>
                    </w:rPr>
                  </w:pPr>
                  <w:r w:rsidRPr="00EB1FF6">
                    <w:rPr>
                      <w:rFonts w:asciiTheme="minorHAnsi" w:hAnsiTheme="minorHAnsi"/>
                      <w:color w:val="1F497D" w:themeColor="text2"/>
                      <w:sz w:val="20"/>
                      <w:szCs w:val="20"/>
                    </w:rPr>
                    <w:t>Catrina Gourlay</w:t>
                  </w:r>
                </w:p>
              </w:tc>
            </w:tr>
            <w:tr w:rsidR="00080EB1" w:rsidRPr="00EB1FF6" w:rsidTr="00EC3833">
              <w:tc>
                <w:tcPr>
                  <w:tcW w:w="5838" w:type="dxa"/>
                </w:tcPr>
                <w:p w:rsidR="00080EB1" w:rsidRPr="00EB1FF6" w:rsidRDefault="00080EB1" w:rsidP="00EC3833">
                  <w:pPr>
                    <w:rPr>
                      <w:color w:val="1F497D" w:themeColor="text2"/>
                      <w:sz w:val="20"/>
                      <w:szCs w:val="20"/>
                    </w:rPr>
                  </w:pPr>
                  <w:r w:rsidRPr="00EB1FF6">
                    <w:rPr>
                      <w:rFonts w:asciiTheme="minorHAnsi" w:hAnsiTheme="minorHAnsi"/>
                      <w:color w:val="1F497D" w:themeColor="text2"/>
                      <w:sz w:val="20"/>
                      <w:szCs w:val="20"/>
                    </w:rPr>
                    <w:t>clare@venturetrust.org.uk</w:t>
                  </w:r>
                </w:p>
              </w:tc>
              <w:tc>
                <w:tcPr>
                  <w:tcW w:w="5838" w:type="dxa"/>
                </w:tcPr>
                <w:p w:rsidR="00080EB1" w:rsidRPr="00EB1FF6" w:rsidRDefault="00080EB1" w:rsidP="00EC3833">
                  <w:pPr>
                    <w:rPr>
                      <w:color w:val="1F497D" w:themeColor="text2"/>
                      <w:sz w:val="20"/>
                      <w:szCs w:val="20"/>
                    </w:rPr>
                  </w:pPr>
                  <w:r w:rsidRPr="00EB1FF6">
                    <w:rPr>
                      <w:rFonts w:asciiTheme="minorHAnsi" w:hAnsiTheme="minorHAnsi"/>
                      <w:color w:val="1F497D" w:themeColor="text2"/>
                      <w:sz w:val="20"/>
                      <w:szCs w:val="20"/>
                    </w:rPr>
                    <w:t>catrina@venturetrust.org.uk</w:t>
                  </w:r>
                </w:p>
              </w:tc>
            </w:tr>
            <w:tr w:rsidR="00080EB1" w:rsidRPr="00EB1FF6" w:rsidTr="00EC3833">
              <w:tc>
                <w:tcPr>
                  <w:tcW w:w="5838" w:type="dxa"/>
                </w:tcPr>
                <w:p w:rsidR="00080EB1" w:rsidRPr="00EB1FF6" w:rsidRDefault="00080EB1" w:rsidP="00EC3833">
                  <w:pPr>
                    <w:rPr>
                      <w:color w:val="1F497D" w:themeColor="text2"/>
                      <w:sz w:val="20"/>
                      <w:szCs w:val="20"/>
                    </w:rPr>
                  </w:pPr>
                  <w:r w:rsidRPr="00EB1FF6">
                    <w:rPr>
                      <w:rFonts w:asciiTheme="minorHAnsi" w:hAnsiTheme="minorHAnsi"/>
                      <w:color w:val="1F497D" w:themeColor="text2"/>
                      <w:sz w:val="20"/>
                      <w:szCs w:val="20"/>
                    </w:rPr>
                    <w:t>07785619605</w:t>
                  </w:r>
                </w:p>
              </w:tc>
              <w:tc>
                <w:tcPr>
                  <w:tcW w:w="5838" w:type="dxa"/>
                </w:tcPr>
                <w:p w:rsidR="00080EB1" w:rsidRPr="00EB1FF6" w:rsidRDefault="00080EB1" w:rsidP="00EC3833">
                  <w:pPr>
                    <w:rPr>
                      <w:color w:val="1F497D" w:themeColor="text2"/>
                      <w:sz w:val="20"/>
                      <w:szCs w:val="20"/>
                    </w:rPr>
                  </w:pPr>
                  <w:r w:rsidRPr="00EB1FF6">
                    <w:rPr>
                      <w:rFonts w:asciiTheme="minorHAnsi" w:hAnsiTheme="minorHAnsi"/>
                      <w:color w:val="1F497D" w:themeColor="text2"/>
                      <w:sz w:val="20"/>
                      <w:szCs w:val="20"/>
                    </w:rPr>
                    <w:t>07791011614</w:t>
                  </w:r>
                </w:p>
              </w:tc>
            </w:tr>
          </w:tbl>
          <w:p w:rsidR="00080EB1" w:rsidRPr="00703DAE" w:rsidRDefault="00080EB1" w:rsidP="00EC3833">
            <w:pPr>
              <w:rPr>
                <w:rFonts w:asciiTheme="minorHAnsi" w:hAnsiTheme="minorHAnsi"/>
                <w:color w:val="1F497D" w:themeColor="text2"/>
              </w:rPr>
            </w:pPr>
          </w:p>
        </w:tc>
      </w:tr>
      <w:tr w:rsidR="00080EB1" w:rsidRPr="00703DAE" w:rsidTr="00EC3833">
        <w:tc>
          <w:tcPr>
            <w:tcW w:w="2660" w:type="dxa"/>
          </w:tcPr>
          <w:p w:rsidR="00080EB1" w:rsidRPr="00703DAE" w:rsidRDefault="00080EB1"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3183" w:type="dxa"/>
          </w:tcPr>
          <w:p w:rsidR="00080EB1" w:rsidRPr="00EB1FF6" w:rsidRDefault="00080EB1" w:rsidP="00EC3833">
            <w:pPr>
              <w:rPr>
                <w:rFonts w:asciiTheme="minorHAnsi" w:hAnsiTheme="minorHAnsi"/>
                <w:color w:val="1F497D" w:themeColor="text2"/>
                <w:sz w:val="20"/>
                <w:szCs w:val="20"/>
              </w:rPr>
            </w:pPr>
            <w:r w:rsidRPr="00703DAE">
              <w:rPr>
                <w:rFonts w:asciiTheme="minorHAnsi" w:hAnsiTheme="minorHAnsi"/>
                <w:color w:val="1F497D" w:themeColor="text2"/>
              </w:rPr>
              <w:t xml:space="preserve"> </w:t>
            </w:r>
            <w:r w:rsidRPr="00EB1FF6">
              <w:rPr>
                <w:rFonts w:asciiTheme="minorHAnsi" w:hAnsiTheme="minorHAnsi"/>
                <w:color w:val="1F497D" w:themeColor="text2"/>
                <w:sz w:val="20"/>
                <w:szCs w:val="20"/>
              </w:rPr>
              <w:t>Name: Gordon Thomson,  Outreach Manager (Forth, Tay and North Hub)</w:t>
            </w:r>
          </w:p>
          <w:p w:rsidR="00080EB1" w:rsidRPr="00703DAE" w:rsidRDefault="00080EB1" w:rsidP="00EC3833">
            <w:pPr>
              <w:rPr>
                <w:rFonts w:asciiTheme="minorHAnsi" w:hAnsiTheme="minorHAnsi"/>
                <w:color w:val="1F497D" w:themeColor="text2"/>
              </w:rPr>
            </w:pPr>
            <w:r w:rsidRPr="00EB1FF6">
              <w:rPr>
                <w:rFonts w:asciiTheme="minorHAnsi" w:hAnsiTheme="minorHAnsi"/>
                <w:color w:val="1F497D" w:themeColor="text2"/>
                <w:sz w:val="20"/>
                <w:szCs w:val="20"/>
              </w:rPr>
              <w:t xml:space="preserve">Tel: 07557281803, Argyle House, Lady Lawson St, Edinburgh EH3 9DR , 0131 2287700, </w:t>
            </w:r>
            <w:hyperlink r:id="rId4" w:history="1">
              <w:r w:rsidRPr="00EB1FF6">
                <w:rPr>
                  <w:rStyle w:val="Hyperlink"/>
                  <w:rFonts w:asciiTheme="minorHAnsi" w:hAnsiTheme="minorHAnsi"/>
                  <w:color w:val="1F497D" w:themeColor="text2"/>
                  <w:sz w:val="20"/>
                  <w:szCs w:val="20"/>
                </w:rPr>
                <w:t>www.venturetrust.org.uk</w:t>
              </w:r>
            </w:hyperlink>
          </w:p>
        </w:tc>
      </w:tr>
      <w:tr w:rsidR="00080EB1" w:rsidRPr="00703DAE" w:rsidTr="00EC3833">
        <w:tc>
          <w:tcPr>
            <w:tcW w:w="2660" w:type="dxa"/>
            <w:shd w:val="clear" w:color="auto" w:fill="FBD4B4" w:themeFill="accent6" w:themeFillTint="66"/>
          </w:tcPr>
          <w:p w:rsidR="00080EB1" w:rsidRPr="00703DAE" w:rsidRDefault="00080EB1"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3183" w:type="dxa"/>
            <w:shd w:val="clear" w:color="auto" w:fill="FBD4B4" w:themeFill="accent6" w:themeFillTint="66"/>
          </w:tcPr>
          <w:p w:rsidR="00080EB1" w:rsidRPr="00703DAE" w:rsidRDefault="00080EB1" w:rsidP="00EC3833">
            <w:pPr>
              <w:rPr>
                <w:rFonts w:asciiTheme="minorHAnsi" w:hAnsiTheme="minorHAnsi"/>
                <w:color w:val="1F497D" w:themeColor="text2"/>
              </w:rPr>
            </w:pPr>
            <w:r w:rsidRPr="00703DAE">
              <w:rPr>
                <w:rFonts w:asciiTheme="minorHAnsi" w:hAnsiTheme="minorHAnsi"/>
                <w:color w:val="1F497D" w:themeColor="text2"/>
              </w:rPr>
              <w:t>1, 2, 3</w:t>
            </w:r>
          </w:p>
        </w:tc>
      </w:tr>
      <w:tr w:rsidR="00080EB1" w:rsidRPr="00703DAE" w:rsidTr="00EC3833">
        <w:tc>
          <w:tcPr>
            <w:tcW w:w="15843" w:type="dxa"/>
            <w:gridSpan w:val="2"/>
          </w:tcPr>
          <w:p w:rsidR="00080EB1" w:rsidRPr="00703DAE" w:rsidRDefault="00080EB1" w:rsidP="00EC3833">
            <w:pPr>
              <w:rPr>
                <w:rFonts w:asciiTheme="minorHAnsi" w:hAnsiTheme="minorHAnsi"/>
                <w:color w:val="1F497D" w:themeColor="text2"/>
              </w:rPr>
            </w:pPr>
            <w:r w:rsidRPr="00703DAE">
              <w:rPr>
                <w:rFonts w:asciiTheme="minorHAnsi" w:hAnsiTheme="minorHAnsi"/>
                <w:color w:val="1F497D" w:themeColor="text2"/>
              </w:rPr>
              <w:t>Additional Information</w:t>
            </w:r>
          </w:p>
        </w:tc>
      </w:tr>
    </w:tbl>
    <w:p w:rsidR="00472BF7" w:rsidRDefault="00472BF7">
      <w:bookmarkStart w:id="0" w:name="_GoBack"/>
      <w:bookmarkEnd w:id="0"/>
    </w:p>
    <w:sectPr w:rsidR="00472BF7" w:rsidSect="006645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C2"/>
    <w:rsid w:val="00080EB1"/>
    <w:rsid w:val="00472BF7"/>
    <w:rsid w:val="00664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4D4779-F7E3-44DB-AD60-EE48F339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5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ntur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3576</Characters>
  <Application>Microsoft Office Word</Application>
  <DocSecurity>0</DocSecurity>
  <Lines>29</Lines>
  <Paragraphs>8</Paragraphs>
  <ScaleCrop>false</ScaleCrop>
  <Company>Dundee City Council</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julie gee</cp:lastModifiedBy>
  <cp:revision>2</cp:revision>
  <dcterms:created xsi:type="dcterms:W3CDTF">2018-05-14T13:48:00Z</dcterms:created>
  <dcterms:modified xsi:type="dcterms:W3CDTF">2018-05-14T13:48:00Z</dcterms:modified>
</cp:coreProperties>
</file>