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CADC7" w14:textId="77777777" w:rsidR="00D64302" w:rsidRDefault="00D64302" w:rsidP="00D64302">
      <w:pPr>
        <w:ind w:left="2160" w:hanging="2160"/>
        <w:rPr>
          <w:b/>
        </w:rPr>
      </w:pPr>
      <w:bookmarkStart w:id="0" w:name="_GoBack"/>
      <w:bookmarkEnd w:id="0"/>
    </w:p>
    <w:p w14:paraId="5EC39983" w14:textId="77777777" w:rsidR="00D64302" w:rsidRDefault="00D64302" w:rsidP="00D64302">
      <w:pPr>
        <w:ind w:left="2160" w:hanging="2160"/>
        <w:rPr>
          <w:b/>
        </w:rPr>
      </w:pPr>
    </w:p>
    <w:p w14:paraId="10E517DA" w14:textId="77777777" w:rsidR="00D64302" w:rsidRDefault="00D64302" w:rsidP="00D64302">
      <w:pPr>
        <w:ind w:left="2160" w:hanging="2160"/>
        <w:rPr>
          <w:b/>
        </w:rPr>
      </w:pPr>
    </w:p>
    <w:p w14:paraId="3FD0B0D4" w14:textId="77777777" w:rsidR="00D64302" w:rsidRDefault="00D64302" w:rsidP="00D64302">
      <w:pPr>
        <w:ind w:left="2160" w:hanging="2160"/>
        <w:rPr>
          <w:b/>
        </w:rPr>
      </w:pPr>
    </w:p>
    <w:p w14:paraId="441C9C6B" w14:textId="77777777" w:rsidR="00471AB1" w:rsidRDefault="00471AB1" w:rsidP="00D64302">
      <w:pPr>
        <w:ind w:left="2160" w:hanging="2160"/>
        <w:rPr>
          <w:b/>
        </w:rPr>
      </w:pPr>
    </w:p>
    <w:p w14:paraId="18A981D3" w14:textId="77777777" w:rsidR="00471AB1" w:rsidRDefault="00471AB1" w:rsidP="00D64302">
      <w:pPr>
        <w:ind w:left="2160" w:hanging="2160"/>
        <w:rPr>
          <w:b/>
        </w:rPr>
      </w:pPr>
    </w:p>
    <w:p w14:paraId="39E64409" w14:textId="77777777" w:rsidR="00471AB1" w:rsidRDefault="00471AB1" w:rsidP="00D64302">
      <w:pPr>
        <w:ind w:left="2160" w:hanging="2160"/>
        <w:rPr>
          <w:b/>
        </w:rPr>
      </w:pPr>
    </w:p>
    <w:p w14:paraId="51CCD294" w14:textId="77777777" w:rsidR="00D64302" w:rsidRDefault="00D64302" w:rsidP="00D64302">
      <w:pPr>
        <w:ind w:left="2160" w:hanging="2160"/>
        <w:rPr>
          <w:b/>
        </w:rPr>
      </w:pPr>
    </w:p>
    <w:p w14:paraId="6D287CAB" w14:textId="77777777" w:rsidR="006E48F7" w:rsidRDefault="006E48F7" w:rsidP="006E48F7">
      <w:pPr>
        <w:pStyle w:val="BodyText3"/>
        <w:spacing w:after="0"/>
        <w:jc w:val="center"/>
        <w:rPr>
          <w:rFonts w:cs="Arial"/>
          <w:b/>
          <w:iCs/>
          <w:caps/>
          <w:sz w:val="40"/>
          <w:szCs w:val="52"/>
        </w:rPr>
      </w:pPr>
      <w:r>
        <w:rPr>
          <w:rFonts w:cs="Arial"/>
          <w:b/>
          <w:iCs/>
          <w:caps/>
          <w:sz w:val="40"/>
          <w:szCs w:val="52"/>
        </w:rPr>
        <w:t>Dundee City Council</w:t>
      </w:r>
    </w:p>
    <w:p w14:paraId="4543A85A" w14:textId="77777777" w:rsidR="006E48F7" w:rsidRDefault="006E48F7" w:rsidP="006E48F7">
      <w:pPr>
        <w:pStyle w:val="BodyText3"/>
        <w:spacing w:after="0"/>
        <w:jc w:val="center"/>
        <w:rPr>
          <w:rFonts w:cs="Arial"/>
          <w:b/>
          <w:iCs/>
          <w:caps/>
          <w:sz w:val="40"/>
          <w:szCs w:val="52"/>
        </w:rPr>
      </w:pPr>
    </w:p>
    <w:p w14:paraId="39B75248" w14:textId="0A156D50" w:rsidR="00D64302" w:rsidRDefault="006E48F7" w:rsidP="006E48F7">
      <w:pPr>
        <w:pStyle w:val="BodyText3"/>
        <w:spacing w:after="0"/>
        <w:jc w:val="center"/>
        <w:rPr>
          <w:rFonts w:cs="Arial"/>
          <w:b/>
          <w:iCs/>
          <w:caps/>
          <w:sz w:val="40"/>
          <w:szCs w:val="52"/>
        </w:rPr>
      </w:pPr>
      <w:r>
        <w:rPr>
          <w:rFonts w:cs="Arial"/>
          <w:b/>
          <w:iCs/>
          <w:caps/>
          <w:sz w:val="40"/>
          <w:szCs w:val="52"/>
        </w:rPr>
        <w:t>City Development Department</w:t>
      </w:r>
    </w:p>
    <w:p w14:paraId="48DC57D1" w14:textId="77777777" w:rsidR="0022299B" w:rsidRPr="00F35C5B" w:rsidRDefault="0022299B" w:rsidP="00D64302">
      <w:pPr>
        <w:pStyle w:val="BodyText3"/>
        <w:spacing w:after="0"/>
        <w:jc w:val="center"/>
        <w:rPr>
          <w:rFonts w:cs="Arial"/>
          <w:b/>
          <w:iCs/>
          <w:caps/>
          <w:sz w:val="40"/>
          <w:szCs w:val="52"/>
        </w:rPr>
      </w:pPr>
    </w:p>
    <w:p w14:paraId="4821C797" w14:textId="77777777" w:rsidR="00D64302" w:rsidRPr="00F35C5B" w:rsidRDefault="00D64302" w:rsidP="00D64302">
      <w:pPr>
        <w:pStyle w:val="BodyText3"/>
        <w:spacing w:after="0"/>
        <w:jc w:val="center"/>
        <w:rPr>
          <w:rFonts w:cs="Arial"/>
          <w:b/>
          <w:iCs/>
          <w:caps/>
          <w:sz w:val="40"/>
          <w:szCs w:val="52"/>
        </w:rPr>
      </w:pPr>
      <w:smartTag w:uri="urn:schemas-microsoft-com:office:smarttags" w:element="stockticker">
        <w:r w:rsidRPr="00F35C5B">
          <w:rPr>
            <w:rFonts w:cs="Arial"/>
            <w:b/>
            <w:iCs/>
            <w:caps/>
            <w:sz w:val="40"/>
            <w:szCs w:val="52"/>
          </w:rPr>
          <w:t>Road</w:t>
        </w:r>
      </w:smartTag>
      <w:r w:rsidRPr="00F35C5B">
        <w:rPr>
          <w:rFonts w:cs="Arial"/>
          <w:b/>
          <w:iCs/>
          <w:caps/>
          <w:sz w:val="40"/>
          <w:szCs w:val="52"/>
        </w:rPr>
        <w:t xml:space="preserve"> Maintenance Partnership</w:t>
      </w:r>
    </w:p>
    <w:p w14:paraId="52F2BD74" w14:textId="77777777" w:rsidR="00D64302" w:rsidRDefault="00D64302" w:rsidP="00D64302">
      <w:pPr>
        <w:pStyle w:val="BodyText3"/>
        <w:spacing w:after="0"/>
        <w:jc w:val="center"/>
        <w:rPr>
          <w:rFonts w:cs="Arial"/>
          <w:b/>
          <w:iCs/>
          <w:caps/>
          <w:sz w:val="40"/>
          <w:szCs w:val="52"/>
        </w:rPr>
      </w:pPr>
    </w:p>
    <w:p w14:paraId="455ADD90" w14:textId="77777777" w:rsidR="00D64302" w:rsidRDefault="00D64302" w:rsidP="00D64302">
      <w:pPr>
        <w:pStyle w:val="BodyText3"/>
        <w:spacing w:after="0"/>
        <w:jc w:val="center"/>
        <w:rPr>
          <w:rFonts w:cs="Arial"/>
          <w:b/>
          <w:iCs/>
          <w:caps/>
          <w:sz w:val="40"/>
          <w:szCs w:val="52"/>
        </w:rPr>
      </w:pPr>
    </w:p>
    <w:p w14:paraId="49F2AFA9" w14:textId="77777777" w:rsidR="00D64302" w:rsidRPr="00F35C5B" w:rsidRDefault="00D64302" w:rsidP="00D64302">
      <w:pPr>
        <w:pStyle w:val="BodyText3"/>
        <w:spacing w:after="0"/>
        <w:jc w:val="center"/>
        <w:rPr>
          <w:rFonts w:cs="Arial"/>
          <w:b/>
          <w:iCs/>
          <w:caps/>
          <w:sz w:val="40"/>
          <w:szCs w:val="52"/>
        </w:rPr>
      </w:pPr>
    </w:p>
    <w:p w14:paraId="7E49B1C5" w14:textId="77777777" w:rsidR="00D64302" w:rsidRDefault="00D64302" w:rsidP="00D64302">
      <w:pPr>
        <w:pStyle w:val="BodyText3"/>
        <w:spacing w:after="0"/>
        <w:jc w:val="center"/>
        <w:rPr>
          <w:rFonts w:cs="Arial"/>
          <w:b/>
          <w:iCs/>
          <w:caps/>
          <w:sz w:val="40"/>
          <w:szCs w:val="52"/>
        </w:rPr>
      </w:pPr>
      <w:r w:rsidRPr="00F35C5B">
        <w:rPr>
          <w:rFonts w:cs="Arial"/>
          <w:b/>
          <w:iCs/>
          <w:caps/>
          <w:sz w:val="40"/>
          <w:szCs w:val="52"/>
        </w:rPr>
        <w:t>WINTER GRITTING</w:t>
      </w:r>
    </w:p>
    <w:p w14:paraId="6C35C86D" w14:textId="77777777" w:rsidR="00D64302" w:rsidRPr="00F35C5B" w:rsidRDefault="00D64302" w:rsidP="00D64302">
      <w:pPr>
        <w:pStyle w:val="BodyText3"/>
        <w:spacing w:after="0"/>
        <w:jc w:val="center"/>
        <w:rPr>
          <w:rFonts w:cs="Arial"/>
          <w:b/>
          <w:iCs/>
          <w:caps/>
          <w:sz w:val="40"/>
          <w:szCs w:val="52"/>
        </w:rPr>
      </w:pPr>
    </w:p>
    <w:p w14:paraId="6656F328" w14:textId="77777777" w:rsidR="00D64302" w:rsidRDefault="00D64302" w:rsidP="00D64302">
      <w:pPr>
        <w:pStyle w:val="BodyText3"/>
        <w:spacing w:after="0"/>
        <w:jc w:val="center"/>
        <w:rPr>
          <w:rFonts w:cs="Arial"/>
          <w:b/>
          <w:iCs/>
          <w:caps/>
          <w:color w:val="000000"/>
          <w:sz w:val="40"/>
          <w:szCs w:val="52"/>
        </w:rPr>
      </w:pPr>
      <w:r w:rsidRPr="00F35C5B">
        <w:rPr>
          <w:rFonts w:cs="Arial"/>
          <w:b/>
          <w:iCs/>
          <w:caps/>
          <w:sz w:val="40"/>
          <w:szCs w:val="52"/>
        </w:rPr>
        <w:t xml:space="preserve">&amp; </w:t>
      </w:r>
      <w:r w:rsidRPr="00F35C5B">
        <w:rPr>
          <w:rFonts w:cs="Arial"/>
          <w:b/>
          <w:iCs/>
          <w:caps/>
          <w:color w:val="000000"/>
          <w:sz w:val="40"/>
          <w:szCs w:val="52"/>
        </w:rPr>
        <w:t>SNOWCLEARING SERVICES</w:t>
      </w:r>
    </w:p>
    <w:p w14:paraId="30BB4596" w14:textId="77777777" w:rsidR="00D64302" w:rsidRPr="00F35C5B" w:rsidRDefault="00D64302" w:rsidP="00D64302">
      <w:pPr>
        <w:pStyle w:val="BodyText3"/>
        <w:spacing w:after="0"/>
        <w:jc w:val="center"/>
        <w:rPr>
          <w:rFonts w:cs="Arial"/>
          <w:b/>
          <w:iCs/>
          <w:caps/>
          <w:color w:val="000000"/>
          <w:sz w:val="40"/>
          <w:szCs w:val="52"/>
        </w:rPr>
      </w:pPr>
    </w:p>
    <w:p w14:paraId="1B694F3B" w14:textId="77777777" w:rsidR="00D64302" w:rsidRDefault="00D64302" w:rsidP="00D64302">
      <w:pPr>
        <w:pStyle w:val="BodyText3"/>
        <w:spacing w:after="0"/>
        <w:jc w:val="center"/>
        <w:rPr>
          <w:rFonts w:cs="Arial"/>
          <w:b/>
          <w:iCs/>
          <w:caps/>
          <w:sz w:val="40"/>
          <w:szCs w:val="52"/>
        </w:rPr>
      </w:pPr>
      <w:r w:rsidRPr="00F35C5B">
        <w:rPr>
          <w:rFonts w:cs="Arial"/>
          <w:b/>
          <w:iCs/>
          <w:caps/>
          <w:sz w:val="40"/>
          <w:szCs w:val="52"/>
        </w:rPr>
        <w:t>Policy Statement</w:t>
      </w:r>
    </w:p>
    <w:p w14:paraId="321145B4" w14:textId="77777777" w:rsidR="00AF37CE" w:rsidRDefault="00AF37CE" w:rsidP="00D64302">
      <w:pPr>
        <w:pStyle w:val="BodyText3"/>
        <w:spacing w:after="0"/>
        <w:jc w:val="center"/>
        <w:rPr>
          <w:rFonts w:cs="Arial"/>
          <w:b/>
          <w:iCs/>
          <w:caps/>
          <w:sz w:val="40"/>
          <w:szCs w:val="52"/>
        </w:rPr>
      </w:pPr>
    </w:p>
    <w:p w14:paraId="5BABD7DD" w14:textId="39895881" w:rsidR="00AF37CE" w:rsidRDefault="00AF37CE" w:rsidP="00D64302">
      <w:pPr>
        <w:pStyle w:val="BodyText3"/>
        <w:spacing w:after="0"/>
        <w:jc w:val="center"/>
        <w:rPr>
          <w:rFonts w:cs="Arial"/>
          <w:b/>
          <w:iCs/>
          <w:caps/>
          <w:sz w:val="40"/>
          <w:szCs w:val="52"/>
        </w:rPr>
      </w:pPr>
    </w:p>
    <w:p w14:paraId="6A853271" w14:textId="389CBDBB" w:rsidR="00AF37CE" w:rsidRDefault="00AF37CE" w:rsidP="00AF37CE">
      <w:pPr>
        <w:pStyle w:val="BodyText3"/>
        <w:spacing w:after="0"/>
        <w:rPr>
          <w:rFonts w:cs="Arial"/>
          <w:b/>
          <w:iCs/>
          <w:caps/>
          <w:sz w:val="52"/>
          <w:szCs w:val="52"/>
        </w:rPr>
      </w:pPr>
    </w:p>
    <w:p w14:paraId="702788B2" w14:textId="69B62722" w:rsidR="006E48F7" w:rsidRDefault="006E48F7" w:rsidP="00AF37CE">
      <w:pPr>
        <w:pStyle w:val="BodyText3"/>
        <w:spacing w:after="0"/>
        <w:rPr>
          <w:rFonts w:cs="Arial"/>
          <w:b/>
          <w:iCs/>
          <w:caps/>
          <w:sz w:val="52"/>
          <w:szCs w:val="52"/>
        </w:rPr>
      </w:pPr>
    </w:p>
    <w:p w14:paraId="213A5ACC" w14:textId="56BA15A1" w:rsidR="006E48F7" w:rsidRDefault="006E48F7" w:rsidP="00AF37CE">
      <w:pPr>
        <w:pStyle w:val="BodyText3"/>
        <w:spacing w:after="0"/>
        <w:rPr>
          <w:rFonts w:cs="Arial"/>
          <w:b/>
          <w:iCs/>
          <w:caps/>
          <w:sz w:val="52"/>
          <w:szCs w:val="52"/>
        </w:rPr>
      </w:pPr>
    </w:p>
    <w:p w14:paraId="3BDCB34E" w14:textId="1CD78DCE" w:rsidR="006E48F7" w:rsidRDefault="006E48F7" w:rsidP="00AF37CE">
      <w:pPr>
        <w:pStyle w:val="BodyText3"/>
        <w:spacing w:after="0"/>
        <w:rPr>
          <w:rFonts w:cs="Arial"/>
          <w:b/>
          <w:iCs/>
          <w:caps/>
          <w:sz w:val="52"/>
          <w:szCs w:val="52"/>
        </w:rPr>
      </w:pPr>
    </w:p>
    <w:p w14:paraId="1467E2D8" w14:textId="70762520" w:rsidR="006E48F7" w:rsidRDefault="006E48F7" w:rsidP="00AF37CE">
      <w:pPr>
        <w:pStyle w:val="BodyText3"/>
        <w:spacing w:after="0"/>
        <w:rPr>
          <w:rFonts w:cs="Arial"/>
          <w:b/>
          <w:iCs/>
          <w:caps/>
          <w:sz w:val="52"/>
          <w:szCs w:val="52"/>
        </w:rPr>
      </w:pPr>
    </w:p>
    <w:p w14:paraId="7F7B205A" w14:textId="319513E8" w:rsidR="006E48F7" w:rsidRDefault="006E48F7" w:rsidP="00AF37CE">
      <w:pPr>
        <w:pStyle w:val="BodyText3"/>
        <w:spacing w:after="0"/>
        <w:rPr>
          <w:rFonts w:cs="Arial"/>
          <w:b/>
          <w:iCs/>
          <w:caps/>
          <w:sz w:val="52"/>
          <w:szCs w:val="52"/>
        </w:rPr>
      </w:pPr>
    </w:p>
    <w:p w14:paraId="3F2984D2" w14:textId="77777777" w:rsidR="006E48F7" w:rsidRPr="00F35C5B" w:rsidRDefault="006E48F7" w:rsidP="00AF37CE">
      <w:pPr>
        <w:pStyle w:val="BodyText3"/>
        <w:spacing w:after="0"/>
        <w:rPr>
          <w:rFonts w:cs="Arial"/>
          <w:b/>
          <w:iCs/>
          <w:caps/>
          <w:sz w:val="52"/>
          <w:szCs w:val="52"/>
        </w:rPr>
      </w:pPr>
    </w:p>
    <w:p w14:paraId="12ED0E3E" w14:textId="77777777" w:rsidR="00D64302" w:rsidRPr="00F35C5B" w:rsidRDefault="00D64302" w:rsidP="00D64302">
      <w:pPr>
        <w:ind w:left="2160" w:hanging="2160"/>
        <w:rPr>
          <w:rFonts w:cs="Arial"/>
          <w:b/>
          <w:caps/>
        </w:rPr>
      </w:pPr>
    </w:p>
    <w:p w14:paraId="2B48174C" w14:textId="12FE7586" w:rsidR="00D64302" w:rsidRPr="00F35C5B" w:rsidRDefault="006E48F7" w:rsidP="006E48F7">
      <w:pPr>
        <w:ind w:left="2160" w:hanging="2160"/>
        <w:jc w:val="center"/>
        <w:rPr>
          <w:rFonts w:cs="Arial"/>
          <w:b/>
          <w:caps/>
        </w:rPr>
      </w:pPr>
      <w:r>
        <w:rPr>
          <w:noProof/>
          <w:lang w:eastAsia="en-GB"/>
        </w:rPr>
        <w:drawing>
          <wp:inline distT="0" distB="0" distL="0" distR="0" wp14:anchorId="46EF470F" wp14:editId="4352B3C7">
            <wp:extent cx="2245995" cy="586105"/>
            <wp:effectExtent l="0" t="0" r="1905" b="4445"/>
            <wp:docPr id="2" name="Picture 2" descr="RMP logo.jpg"/>
            <wp:cNvGraphicFramePr/>
            <a:graphic xmlns:a="http://schemas.openxmlformats.org/drawingml/2006/main">
              <a:graphicData uri="http://schemas.openxmlformats.org/drawingml/2006/picture">
                <pic:pic xmlns:pic="http://schemas.openxmlformats.org/drawingml/2006/picture">
                  <pic:nvPicPr>
                    <pic:cNvPr id="1" name="Picture 2" descr="RMP logo.jpg"/>
                    <pic:cNvPicPr/>
                  </pic:nvPicPr>
                  <pic:blipFill>
                    <a:blip r:embed="rId8" cstate="print"/>
                    <a:srcRect/>
                    <a:stretch>
                      <a:fillRect/>
                    </a:stretch>
                  </pic:blipFill>
                  <pic:spPr bwMode="auto">
                    <a:xfrm>
                      <a:off x="0" y="0"/>
                      <a:ext cx="2245995" cy="586105"/>
                    </a:xfrm>
                    <a:prstGeom prst="rect">
                      <a:avLst/>
                    </a:prstGeom>
                    <a:noFill/>
                    <a:ln w="9525">
                      <a:noFill/>
                      <a:miter lim="800000"/>
                      <a:headEnd/>
                      <a:tailEnd/>
                    </a:ln>
                  </pic:spPr>
                </pic:pic>
              </a:graphicData>
            </a:graphic>
          </wp:inline>
        </w:drawing>
      </w:r>
    </w:p>
    <w:p w14:paraId="07B28FFC" w14:textId="77777777" w:rsidR="00D64302" w:rsidRPr="00F35C5B" w:rsidRDefault="00D64302" w:rsidP="00D64302">
      <w:pPr>
        <w:ind w:left="2160" w:hanging="2160"/>
        <w:rPr>
          <w:rFonts w:cs="Arial"/>
          <w:b/>
          <w:caps/>
        </w:rPr>
      </w:pPr>
    </w:p>
    <w:p w14:paraId="684A7410" w14:textId="77777777" w:rsidR="00D64302" w:rsidRDefault="00D64302" w:rsidP="00D64302">
      <w:pPr>
        <w:ind w:left="2160" w:hanging="2160"/>
        <w:rPr>
          <w:b/>
        </w:rPr>
      </w:pPr>
    </w:p>
    <w:p w14:paraId="0B536887" w14:textId="77777777" w:rsidR="00D64302" w:rsidRDefault="00D64302" w:rsidP="00D64302">
      <w:pPr>
        <w:ind w:left="2160" w:hanging="2160"/>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791"/>
      </w:tblGrid>
      <w:tr w:rsidR="00AE7E2A" w14:paraId="01AE030C" w14:textId="77777777" w:rsidTr="00AE7E2A">
        <w:tc>
          <w:tcPr>
            <w:tcW w:w="4899" w:type="dxa"/>
          </w:tcPr>
          <w:p w14:paraId="19DDA6F0" w14:textId="730F468A" w:rsidR="00AE7E2A" w:rsidRDefault="006E48F7" w:rsidP="00AE7E2A">
            <w:pPr>
              <w:jc w:val="center"/>
              <w:rPr>
                <w:b/>
              </w:rPr>
            </w:pPr>
            <w:r>
              <w:br w:type="page"/>
            </w:r>
          </w:p>
        </w:tc>
        <w:tc>
          <w:tcPr>
            <w:tcW w:w="4899" w:type="dxa"/>
          </w:tcPr>
          <w:p w14:paraId="6759F8E3" w14:textId="3C5B0A6E" w:rsidR="00AE7E2A" w:rsidRDefault="00AE7E2A" w:rsidP="00AE7E2A">
            <w:pPr>
              <w:jc w:val="center"/>
              <w:rPr>
                <w:b/>
              </w:rPr>
            </w:pPr>
          </w:p>
        </w:tc>
      </w:tr>
    </w:tbl>
    <w:p w14:paraId="0BB78A07" w14:textId="77777777" w:rsidR="00D64302" w:rsidRDefault="00D64302" w:rsidP="00AE7E2A">
      <w:pPr>
        <w:rPr>
          <w:b/>
        </w:rPr>
      </w:pPr>
    </w:p>
    <w:p w14:paraId="1B36D789" w14:textId="77777777" w:rsidR="00D64302" w:rsidRDefault="00D64302" w:rsidP="00D64302">
      <w:pPr>
        <w:ind w:left="2160" w:hanging="2160"/>
        <w:rPr>
          <w:b/>
        </w:rPr>
      </w:pPr>
    </w:p>
    <w:p w14:paraId="21F75497" w14:textId="77777777" w:rsidR="00D64302" w:rsidRPr="00AE7E2A" w:rsidRDefault="00D64302" w:rsidP="00AE7E2A">
      <w:pPr>
        <w:rPr>
          <w:b/>
          <w:noProof/>
          <w:lang w:eastAsia="en-GB"/>
        </w:rPr>
      </w:pPr>
      <w:r w:rsidRPr="00F35C5B">
        <w:rPr>
          <w:color w:val="000000"/>
          <w:sz w:val="24"/>
          <w:szCs w:val="24"/>
        </w:rPr>
        <w:t>CONTENTS</w:t>
      </w:r>
    </w:p>
    <w:p w14:paraId="2874E76E" w14:textId="77777777" w:rsidR="00D64302" w:rsidRDefault="00D64302" w:rsidP="00D64302">
      <w:pPr>
        <w:rPr>
          <w:color w:val="000000"/>
          <w:sz w:val="24"/>
          <w:u w:val="single"/>
        </w:rPr>
      </w:pPr>
    </w:p>
    <w:p w14:paraId="27DF3C7E" w14:textId="77777777" w:rsidR="00D64302" w:rsidRDefault="00D64302" w:rsidP="00D64302">
      <w:pPr>
        <w:jc w:val="left"/>
        <w:rPr>
          <w:b/>
          <w:color w:val="000000"/>
          <w:sz w:val="24"/>
          <w:u w:val="single"/>
        </w:rPr>
      </w:pPr>
    </w:p>
    <w:p w14:paraId="3A208195" w14:textId="77777777" w:rsidR="00D64302" w:rsidRDefault="00D64302" w:rsidP="00D64302">
      <w:pPr>
        <w:rPr>
          <w:b/>
          <w:color w:val="000000"/>
          <w:sz w:val="24"/>
          <w:u w:val="single"/>
        </w:rPr>
      </w:pPr>
    </w:p>
    <w:p w14:paraId="0C17FE1F" w14:textId="77777777" w:rsidR="00D64302" w:rsidRPr="00E24062" w:rsidRDefault="00D64302" w:rsidP="00D64302">
      <w:pPr>
        <w:rPr>
          <w:color w:val="000000"/>
          <w:szCs w:val="22"/>
        </w:rPr>
      </w:pPr>
      <w:r w:rsidRPr="00E24062">
        <w:rPr>
          <w:color w:val="000000"/>
          <w:szCs w:val="22"/>
        </w:rPr>
        <w:t>1</w:t>
      </w:r>
      <w:r w:rsidRPr="00E24062">
        <w:rPr>
          <w:color w:val="000000"/>
          <w:szCs w:val="22"/>
        </w:rPr>
        <w:tab/>
        <w:t xml:space="preserve">POLICY </w:t>
      </w:r>
    </w:p>
    <w:p w14:paraId="0F7CA3E9" w14:textId="77777777" w:rsidR="00D64302" w:rsidRPr="00E24062" w:rsidRDefault="00D64302" w:rsidP="00D64302">
      <w:pPr>
        <w:rPr>
          <w:color w:val="000000"/>
          <w:szCs w:val="22"/>
        </w:rPr>
      </w:pPr>
    </w:p>
    <w:p w14:paraId="3BA8E169" w14:textId="77777777" w:rsidR="00D64302" w:rsidRPr="00E24062" w:rsidRDefault="00D64302" w:rsidP="00D64302">
      <w:pPr>
        <w:rPr>
          <w:color w:val="000000"/>
          <w:szCs w:val="22"/>
        </w:rPr>
      </w:pPr>
    </w:p>
    <w:p w14:paraId="58DC42B9" w14:textId="77777777" w:rsidR="00D64302" w:rsidRPr="00E24062" w:rsidRDefault="00D64302" w:rsidP="00D64302">
      <w:pPr>
        <w:ind w:left="720" w:hanging="720"/>
        <w:rPr>
          <w:color w:val="000000"/>
          <w:szCs w:val="22"/>
        </w:rPr>
      </w:pPr>
      <w:r w:rsidRPr="00E24062">
        <w:rPr>
          <w:color w:val="000000"/>
          <w:szCs w:val="22"/>
        </w:rPr>
        <w:t>2</w:t>
      </w:r>
      <w:r w:rsidRPr="00E24062">
        <w:rPr>
          <w:color w:val="000000"/>
          <w:szCs w:val="22"/>
        </w:rPr>
        <w:tab/>
      </w:r>
      <w:r>
        <w:rPr>
          <w:color w:val="000000"/>
          <w:szCs w:val="22"/>
        </w:rPr>
        <w:t>SERVICE PROVISION</w:t>
      </w:r>
    </w:p>
    <w:p w14:paraId="14F89B49" w14:textId="77777777" w:rsidR="00D64302" w:rsidRPr="00E24062" w:rsidRDefault="00D64302" w:rsidP="00D64302">
      <w:pPr>
        <w:rPr>
          <w:color w:val="000000"/>
          <w:szCs w:val="22"/>
        </w:rPr>
      </w:pPr>
    </w:p>
    <w:p w14:paraId="2069FE76" w14:textId="77777777" w:rsidR="00D64302" w:rsidRPr="00E24062" w:rsidRDefault="00D64302" w:rsidP="00D64302">
      <w:pPr>
        <w:rPr>
          <w:color w:val="000000"/>
          <w:szCs w:val="22"/>
        </w:rPr>
      </w:pPr>
    </w:p>
    <w:p w14:paraId="1D53BE86" w14:textId="77777777" w:rsidR="00D64302" w:rsidRPr="00E24062" w:rsidRDefault="00D64302" w:rsidP="00D64302">
      <w:pPr>
        <w:rPr>
          <w:color w:val="000000"/>
          <w:szCs w:val="22"/>
        </w:rPr>
      </w:pPr>
      <w:r w:rsidRPr="00E24062">
        <w:rPr>
          <w:color w:val="000000"/>
          <w:szCs w:val="22"/>
        </w:rPr>
        <w:t>3</w:t>
      </w:r>
      <w:r w:rsidRPr="00E24062">
        <w:rPr>
          <w:color w:val="000000"/>
          <w:szCs w:val="22"/>
        </w:rPr>
        <w:tab/>
        <w:t>INFORMATI</w:t>
      </w:r>
      <w:r>
        <w:rPr>
          <w:color w:val="000000"/>
          <w:szCs w:val="22"/>
        </w:rPr>
        <w:t>ON FOR ACTION</w:t>
      </w:r>
    </w:p>
    <w:p w14:paraId="30C0E35D" w14:textId="77777777" w:rsidR="00D64302" w:rsidRPr="00E24062" w:rsidRDefault="00D64302" w:rsidP="00D64302">
      <w:pPr>
        <w:rPr>
          <w:color w:val="000000"/>
          <w:szCs w:val="22"/>
        </w:rPr>
      </w:pPr>
    </w:p>
    <w:p w14:paraId="72DF219A" w14:textId="77777777" w:rsidR="00D64302" w:rsidRPr="00E24062" w:rsidRDefault="00D64302" w:rsidP="00D64302">
      <w:pPr>
        <w:rPr>
          <w:color w:val="000000"/>
          <w:szCs w:val="22"/>
        </w:rPr>
      </w:pPr>
    </w:p>
    <w:p w14:paraId="75190156" w14:textId="35274487" w:rsidR="00D64302" w:rsidRDefault="00D64302" w:rsidP="00D64302">
      <w:pPr>
        <w:rPr>
          <w:color w:val="000000"/>
          <w:szCs w:val="22"/>
        </w:rPr>
      </w:pPr>
      <w:r w:rsidRPr="00E24062">
        <w:rPr>
          <w:color w:val="000000"/>
          <w:szCs w:val="22"/>
        </w:rPr>
        <w:t>4</w:t>
      </w:r>
      <w:r w:rsidRPr="00E24062">
        <w:rPr>
          <w:color w:val="000000"/>
          <w:szCs w:val="22"/>
        </w:rPr>
        <w:tab/>
        <w:t>PRI</w:t>
      </w:r>
      <w:r>
        <w:rPr>
          <w:color w:val="000000"/>
          <w:szCs w:val="22"/>
        </w:rPr>
        <w:t xml:space="preserve">ORITIES </w:t>
      </w:r>
      <w:smartTag w:uri="urn:schemas-microsoft-com:office:smarttags" w:element="stockticker">
        <w:r>
          <w:rPr>
            <w:color w:val="000000"/>
            <w:szCs w:val="22"/>
          </w:rPr>
          <w:t>AND</w:t>
        </w:r>
      </w:smartTag>
      <w:r>
        <w:rPr>
          <w:color w:val="000000"/>
          <w:szCs w:val="22"/>
        </w:rPr>
        <w:t xml:space="preserve"> TREATMENT STANDARDS</w:t>
      </w:r>
    </w:p>
    <w:p w14:paraId="3E7CB840" w14:textId="7D55E0FF" w:rsidR="00091508" w:rsidRDefault="00091508" w:rsidP="00D64302">
      <w:pPr>
        <w:rPr>
          <w:color w:val="000000"/>
          <w:szCs w:val="22"/>
        </w:rPr>
      </w:pPr>
    </w:p>
    <w:p w14:paraId="62A5A406" w14:textId="77777777" w:rsidR="00091508" w:rsidRDefault="00091508" w:rsidP="00D64302">
      <w:pPr>
        <w:rPr>
          <w:color w:val="000000"/>
          <w:szCs w:val="22"/>
        </w:rPr>
      </w:pPr>
    </w:p>
    <w:p w14:paraId="2FAB4C98" w14:textId="5724B557" w:rsidR="00091508" w:rsidRDefault="00091508" w:rsidP="00D64302">
      <w:pPr>
        <w:rPr>
          <w:color w:val="000000"/>
          <w:szCs w:val="22"/>
        </w:rPr>
      </w:pPr>
    </w:p>
    <w:p w14:paraId="364DA74B" w14:textId="5C17B62C" w:rsidR="00091508" w:rsidRDefault="00091508" w:rsidP="00D64302">
      <w:pPr>
        <w:rPr>
          <w:color w:val="000000"/>
          <w:szCs w:val="22"/>
        </w:rPr>
      </w:pPr>
    </w:p>
    <w:p w14:paraId="14B48C3B" w14:textId="6D746988" w:rsidR="00091508" w:rsidRDefault="00091508" w:rsidP="00D64302">
      <w:pPr>
        <w:rPr>
          <w:color w:val="000000"/>
          <w:szCs w:val="22"/>
        </w:rPr>
      </w:pPr>
    </w:p>
    <w:p w14:paraId="260165CB" w14:textId="77777777" w:rsidR="00091508" w:rsidRDefault="00091508" w:rsidP="00D64302">
      <w:pPr>
        <w:rPr>
          <w:color w:val="000000"/>
          <w:szCs w:val="22"/>
        </w:rPr>
      </w:pPr>
    </w:p>
    <w:p w14:paraId="718D6116" w14:textId="142FA843" w:rsidR="00091508" w:rsidRDefault="00091508" w:rsidP="00D64302">
      <w:pPr>
        <w:rPr>
          <w:color w:val="000000"/>
          <w:szCs w:val="22"/>
        </w:rPr>
      </w:pPr>
      <w:r>
        <w:rPr>
          <w:color w:val="000000"/>
          <w:szCs w:val="22"/>
        </w:rPr>
        <w:t>APPENDICES</w:t>
      </w:r>
    </w:p>
    <w:p w14:paraId="0356C405" w14:textId="32AAB7B4" w:rsidR="00091508" w:rsidRDefault="00091508" w:rsidP="00D64302">
      <w:pPr>
        <w:rPr>
          <w:color w:val="000000"/>
          <w:szCs w:val="22"/>
        </w:rPr>
      </w:pPr>
    </w:p>
    <w:p w14:paraId="5A563D98" w14:textId="3985DBD1" w:rsidR="00091508" w:rsidRDefault="00091508" w:rsidP="00D64302">
      <w:pPr>
        <w:rPr>
          <w:color w:val="000000"/>
          <w:szCs w:val="22"/>
        </w:rPr>
      </w:pPr>
    </w:p>
    <w:p w14:paraId="5F4EB478" w14:textId="37E7EABA" w:rsidR="00091508" w:rsidRPr="00E24062" w:rsidRDefault="00091508" w:rsidP="00D64302">
      <w:pPr>
        <w:rPr>
          <w:color w:val="000000"/>
          <w:szCs w:val="22"/>
        </w:rPr>
      </w:pPr>
      <w:r>
        <w:rPr>
          <w:color w:val="000000"/>
          <w:szCs w:val="22"/>
        </w:rPr>
        <w:t>APPENDIX A – WINTER SPECIFICATION</w:t>
      </w:r>
    </w:p>
    <w:p w14:paraId="5B552BC3" w14:textId="77777777" w:rsidR="00D64302" w:rsidRPr="00E24062" w:rsidRDefault="00D64302" w:rsidP="00D64302">
      <w:pPr>
        <w:rPr>
          <w:color w:val="000000"/>
          <w:szCs w:val="22"/>
        </w:rPr>
      </w:pPr>
    </w:p>
    <w:p w14:paraId="6D7CCADA" w14:textId="77777777" w:rsidR="00394E71" w:rsidRPr="00394E71" w:rsidRDefault="00394E71" w:rsidP="00394E71">
      <w:pPr>
        <w:ind w:left="2160" w:hanging="2160"/>
        <w:rPr>
          <w:szCs w:val="22"/>
        </w:rPr>
      </w:pPr>
    </w:p>
    <w:p w14:paraId="677F066D" w14:textId="77777777" w:rsidR="00D64302" w:rsidRPr="00E24062" w:rsidRDefault="00D64302" w:rsidP="00D64302">
      <w:pPr>
        <w:ind w:left="2160" w:hanging="2160"/>
        <w:rPr>
          <w:b/>
          <w:szCs w:val="22"/>
        </w:rPr>
      </w:pPr>
    </w:p>
    <w:p w14:paraId="0F267FE8" w14:textId="77777777" w:rsidR="00D64302" w:rsidRDefault="00D64302" w:rsidP="00D64302">
      <w:pPr>
        <w:ind w:left="2160" w:hanging="2160"/>
        <w:rPr>
          <w:b/>
        </w:rPr>
      </w:pPr>
    </w:p>
    <w:p w14:paraId="5305A7DE" w14:textId="77777777" w:rsidR="00D64302" w:rsidRDefault="00D64302" w:rsidP="00D64302">
      <w:pPr>
        <w:ind w:left="2160" w:hanging="2160"/>
        <w:rPr>
          <w:b/>
        </w:rPr>
      </w:pPr>
    </w:p>
    <w:p w14:paraId="1B05DF85" w14:textId="77777777" w:rsidR="00D64302" w:rsidRDefault="00D64302" w:rsidP="00D64302">
      <w:pPr>
        <w:ind w:left="2160" w:hanging="2160"/>
        <w:rPr>
          <w:b/>
        </w:rPr>
      </w:pPr>
    </w:p>
    <w:p w14:paraId="4B5CAC0F" w14:textId="77777777" w:rsidR="00D64302" w:rsidRDefault="00D64302" w:rsidP="00D64302">
      <w:pPr>
        <w:ind w:left="2160" w:hanging="2160"/>
        <w:rPr>
          <w:b/>
        </w:rPr>
      </w:pPr>
    </w:p>
    <w:p w14:paraId="3D41A4E0" w14:textId="77777777" w:rsidR="00D64302" w:rsidRDefault="00D64302" w:rsidP="00D64302">
      <w:pPr>
        <w:ind w:left="2160" w:hanging="2160"/>
        <w:rPr>
          <w:b/>
        </w:rPr>
      </w:pPr>
    </w:p>
    <w:p w14:paraId="1A5EEEA8" w14:textId="5B9F43B4" w:rsidR="00D64302" w:rsidRPr="00596AC3" w:rsidRDefault="00D64302" w:rsidP="00D64302">
      <w:pPr>
        <w:ind w:left="2160" w:hanging="2160"/>
        <w:rPr>
          <w:b/>
        </w:rPr>
      </w:pPr>
      <w:r>
        <w:rPr>
          <w:b/>
        </w:rPr>
        <w:br w:type="page"/>
      </w:r>
      <w:r w:rsidRPr="00596AC3">
        <w:rPr>
          <w:b/>
        </w:rPr>
        <w:lastRenderedPageBreak/>
        <w:t xml:space="preserve">WINTER MAINTENANCE POLICY </w:t>
      </w:r>
      <w:smartTag w:uri="urn:schemas-microsoft-com:office:smarttags" w:element="stockticker">
        <w:r w:rsidRPr="00596AC3">
          <w:rPr>
            <w:b/>
          </w:rPr>
          <w:t>AND</w:t>
        </w:r>
      </w:smartTag>
      <w:r w:rsidRPr="00596AC3">
        <w:rPr>
          <w:b/>
        </w:rPr>
        <w:t xml:space="preserve"> LEVEL OF SERVICE</w:t>
      </w:r>
    </w:p>
    <w:p w14:paraId="46F66F3C" w14:textId="77777777" w:rsidR="00D64302" w:rsidRDefault="00D64302" w:rsidP="00D64302">
      <w:pPr>
        <w:ind w:left="2160" w:hanging="2160"/>
        <w:rPr>
          <w:b/>
        </w:rPr>
      </w:pPr>
    </w:p>
    <w:p w14:paraId="77162038" w14:textId="77777777" w:rsidR="00D64302" w:rsidRPr="006E4048" w:rsidRDefault="00D64302" w:rsidP="00D64302">
      <w:pPr>
        <w:pStyle w:val="Heading1"/>
        <w:numPr>
          <w:ilvl w:val="0"/>
          <w:numId w:val="23"/>
        </w:numPr>
        <w:ind w:left="0" w:firstLine="0"/>
      </w:pPr>
      <w:r>
        <w:tab/>
      </w:r>
      <w:r w:rsidRPr="006E4048">
        <w:t>policy</w:t>
      </w:r>
    </w:p>
    <w:p w14:paraId="26DEF2DD" w14:textId="77777777" w:rsidR="00D64302" w:rsidRPr="00E24062" w:rsidRDefault="00134942" w:rsidP="00D64302">
      <w:pPr>
        <w:pStyle w:val="Heading2"/>
        <w:numPr>
          <w:ilvl w:val="1"/>
          <w:numId w:val="1"/>
        </w:numPr>
        <w:ind w:left="709" w:hanging="709"/>
      </w:pPr>
      <w:r>
        <w:t>Dundee City</w:t>
      </w:r>
      <w:r w:rsidR="00D64302" w:rsidRPr="00E24062">
        <w:t xml:space="preserve"> Council will operate a priority system of winter maintenance which, as far as reasonably practicable, will permit the safe movement of vehicular and pedestrian traffic on the more </w:t>
      </w:r>
      <w:r>
        <w:t>critical</w:t>
      </w:r>
      <w:r w:rsidR="00D64302" w:rsidRPr="00E24062">
        <w:t xml:space="preserve"> parts of the road network while minimising delays directly attributable to the adverse weather conditions</w:t>
      </w:r>
      <w:r>
        <w:t>,</w:t>
      </w:r>
      <w:r w:rsidR="00D64302" w:rsidRPr="00E24062">
        <w:t xml:space="preserve"> and will aim to provide a suitable level of service on footways subject to available resources.</w:t>
      </w:r>
    </w:p>
    <w:p w14:paraId="5217DF20" w14:textId="77777777" w:rsidR="00D64302" w:rsidRDefault="00D64302" w:rsidP="00D64302">
      <w:pPr>
        <w:pStyle w:val="Heading2"/>
        <w:numPr>
          <w:ilvl w:val="1"/>
          <w:numId w:val="1"/>
        </w:numPr>
        <w:ind w:left="709" w:hanging="709"/>
      </w:pPr>
      <w:r>
        <w:t xml:space="preserve">The objective of this policy is to enable </w:t>
      </w:r>
      <w:r w:rsidR="00134942">
        <w:t>Dundee City</w:t>
      </w:r>
      <w:r>
        <w:t xml:space="preserve"> Council to comply with its statutory duty to:-</w:t>
      </w:r>
    </w:p>
    <w:p w14:paraId="78D7BC77" w14:textId="77777777" w:rsidR="00D64302" w:rsidRDefault="00D64302" w:rsidP="00D64302">
      <w:pPr>
        <w:pStyle w:val="Heading2"/>
        <w:numPr>
          <w:ilvl w:val="0"/>
          <w:numId w:val="0"/>
        </w:numPr>
        <w:ind w:left="709"/>
        <w:rPr>
          <w:b/>
        </w:rPr>
      </w:pPr>
      <w:r>
        <w:rPr>
          <w:b/>
        </w:rPr>
        <w:t>“take such steps as they consider reasonable to prevent snow and ice endangering the safe passage of pedestrians and vehicles over public roads” (Roads (Scotland) Act 1984).</w:t>
      </w:r>
    </w:p>
    <w:p w14:paraId="07662C60" w14:textId="77777777" w:rsidR="00D64302" w:rsidRDefault="00D64302" w:rsidP="00D64302">
      <w:pPr>
        <w:pStyle w:val="Heading2"/>
        <w:numPr>
          <w:ilvl w:val="1"/>
          <w:numId w:val="1"/>
        </w:numPr>
        <w:ind w:left="709" w:hanging="709"/>
      </w:pPr>
      <w:r>
        <w:t xml:space="preserve">As part of the Road Maintenance Partnership, Tayside Contracts operate and maintain a fleet of dedicated winter maintenance vehicles to carry out winter maintenance operations on the adopted roads and footways maintained by </w:t>
      </w:r>
      <w:r w:rsidR="00134942">
        <w:t>the</w:t>
      </w:r>
      <w:r w:rsidR="00661E5E">
        <w:t xml:space="preserve"> council</w:t>
      </w:r>
    </w:p>
    <w:p w14:paraId="75C11E30" w14:textId="77777777" w:rsidR="00D64302" w:rsidRDefault="00D64302" w:rsidP="00D64302">
      <w:pPr>
        <w:pStyle w:val="Heading2"/>
        <w:numPr>
          <w:ilvl w:val="1"/>
          <w:numId w:val="1"/>
        </w:numPr>
        <w:ind w:left="709" w:hanging="709"/>
      </w:pPr>
      <w:r>
        <w:t xml:space="preserve">These roads and footways have been prioritised as priority, secondary or </w:t>
      </w:r>
      <w:proofErr w:type="spellStart"/>
      <w:r>
        <w:t>cul</w:t>
      </w:r>
      <w:proofErr w:type="spellEnd"/>
      <w:r>
        <w:t xml:space="preserve"> de sac depending on their strategic importance as referred to later in this report.</w:t>
      </w:r>
    </w:p>
    <w:p w14:paraId="0CB003F0" w14:textId="77777777" w:rsidR="00D64302" w:rsidRDefault="00D64302" w:rsidP="00D64302">
      <w:pPr>
        <w:pStyle w:val="Heading1"/>
        <w:numPr>
          <w:ilvl w:val="0"/>
          <w:numId w:val="23"/>
        </w:numPr>
        <w:spacing w:after="0"/>
        <w:ind w:left="0" w:firstLine="0"/>
      </w:pPr>
      <w:r>
        <w:tab/>
        <w:t>SERVICE PROVISION</w:t>
      </w:r>
    </w:p>
    <w:p w14:paraId="5793C243" w14:textId="77777777" w:rsidR="00D64302" w:rsidRPr="00E24062" w:rsidRDefault="00D64302" w:rsidP="00D64302"/>
    <w:p w14:paraId="5A906765" w14:textId="77777777" w:rsidR="00D64302" w:rsidRDefault="00D64302" w:rsidP="00D64302">
      <w:pPr>
        <w:pStyle w:val="BodyText"/>
        <w:spacing w:after="0"/>
        <w:ind w:firstLine="720"/>
        <w:rPr>
          <w:b/>
          <w:color w:val="000000"/>
          <w:u w:val="single"/>
        </w:rPr>
      </w:pPr>
      <w:r>
        <w:rPr>
          <w:b/>
          <w:color w:val="000000"/>
          <w:u w:val="single"/>
        </w:rPr>
        <w:t>Operating Period</w:t>
      </w:r>
    </w:p>
    <w:p w14:paraId="70DB6C79" w14:textId="77777777" w:rsidR="00D64302" w:rsidRDefault="00D64302" w:rsidP="00D64302">
      <w:pPr>
        <w:pStyle w:val="BodyText"/>
        <w:spacing w:after="0"/>
        <w:ind w:firstLine="720"/>
        <w:rPr>
          <w:b/>
          <w:color w:val="000000"/>
          <w:u w:val="single"/>
        </w:rPr>
      </w:pPr>
    </w:p>
    <w:p w14:paraId="2CDD558B" w14:textId="77777777" w:rsidR="00D64302" w:rsidRDefault="00D64302" w:rsidP="00D64302">
      <w:pPr>
        <w:pStyle w:val="Heading2"/>
        <w:numPr>
          <w:ilvl w:val="1"/>
          <w:numId w:val="1"/>
        </w:numPr>
        <w:spacing w:after="0"/>
        <w:rPr>
          <w:color w:val="000000"/>
        </w:rPr>
      </w:pPr>
      <w:r>
        <w:rPr>
          <w:color w:val="000000"/>
        </w:rPr>
        <w:t xml:space="preserve">The winter operating period </w:t>
      </w:r>
      <w:r w:rsidR="00134942">
        <w:rPr>
          <w:color w:val="000000"/>
        </w:rPr>
        <w:t>is detailed in</w:t>
      </w:r>
      <w:r w:rsidR="0088791B">
        <w:rPr>
          <w:color w:val="000000"/>
        </w:rPr>
        <w:t xml:space="preserve"> Appendix A</w:t>
      </w:r>
      <w:r w:rsidR="00134942">
        <w:rPr>
          <w:color w:val="000000"/>
        </w:rPr>
        <w:t xml:space="preserve"> of this policy.</w:t>
      </w:r>
    </w:p>
    <w:p w14:paraId="42278B70" w14:textId="77777777" w:rsidR="00D64302" w:rsidRPr="00E24062" w:rsidRDefault="00D64302" w:rsidP="00D64302"/>
    <w:p w14:paraId="021D2EA5" w14:textId="799B3B4E" w:rsidR="00D64302" w:rsidRPr="00134942" w:rsidRDefault="00D64302" w:rsidP="003C06CE">
      <w:pPr>
        <w:pStyle w:val="Heading2"/>
      </w:pPr>
      <w:r w:rsidRPr="00134942">
        <w:t>The “cor</w:t>
      </w:r>
      <w:r w:rsidR="00A561E8">
        <w:t xml:space="preserve">e” period for </w:t>
      </w:r>
      <w:r w:rsidRPr="00134942">
        <w:t xml:space="preserve">monitoring and </w:t>
      </w:r>
      <w:r w:rsidR="00AF37CE" w:rsidRPr="00134942">
        <w:t xml:space="preserve">priority </w:t>
      </w:r>
      <w:r w:rsidRPr="00134942">
        <w:t xml:space="preserve">operating will run from </w:t>
      </w:r>
      <w:r w:rsidR="0077733D" w:rsidRPr="00134942">
        <w:t>late</w:t>
      </w:r>
      <w:r w:rsidRPr="00134942">
        <w:t xml:space="preserve"> October until early April</w:t>
      </w:r>
      <w:r w:rsidR="00AF37CE" w:rsidRPr="00134942">
        <w:t>. Carriageway</w:t>
      </w:r>
      <w:r w:rsidR="00B61F6E" w:rsidRPr="00134942">
        <w:t>,</w:t>
      </w:r>
      <w:r w:rsidRPr="00134942">
        <w:t xml:space="preserve"> secondary and </w:t>
      </w:r>
      <w:proofErr w:type="spellStart"/>
      <w:r w:rsidRPr="00134942">
        <w:t>cul</w:t>
      </w:r>
      <w:proofErr w:type="spellEnd"/>
      <w:r w:rsidRPr="00134942">
        <w:t xml:space="preserve"> de sac route additional support resource </w:t>
      </w:r>
      <w:r w:rsidR="00AF37CE" w:rsidRPr="00134942">
        <w:t xml:space="preserve">will run from late October to </w:t>
      </w:r>
      <w:r w:rsidR="00D94DB6" w:rsidRPr="00134942">
        <w:t>early April</w:t>
      </w:r>
      <w:r w:rsidR="00AF37CE" w:rsidRPr="00134942">
        <w:t xml:space="preserve">. </w:t>
      </w:r>
      <w:r w:rsidR="00447D81" w:rsidRPr="00134942">
        <w:t xml:space="preserve"> </w:t>
      </w:r>
      <w:r w:rsidR="00AF37CE" w:rsidRPr="00134942">
        <w:t xml:space="preserve">Footway </w:t>
      </w:r>
      <w:r w:rsidRPr="00134942">
        <w:t xml:space="preserve">operations </w:t>
      </w:r>
      <w:r w:rsidR="00B61F6E" w:rsidRPr="00134942">
        <w:t xml:space="preserve">will </w:t>
      </w:r>
      <w:r w:rsidRPr="00134942">
        <w:t>commenc</w:t>
      </w:r>
      <w:r w:rsidR="00B61F6E" w:rsidRPr="00134942">
        <w:t>e</w:t>
      </w:r>
      <w:r w:rsidR="00447D81" w:rsidRPr="00134942">
        <w:t xml:space="preserve"> </w:t>
      </w:r>
      <w:r w:rsidR="00B61F6E" w:rsidRPr="00134942">
        <w:t>in</w:t>
      </w:r>
      <w:r w:rsidRPr="00134942">
        <w:t xml:space="preserve"> the middle of November until </w:t>
      </w:r>
      <w:r w:rsidR="00D94DB6" w:rsidRPr="00134942">
        <w:t>late</w:t>
      </w:r>
      <w:r w:rsidRPr="00134942">
        <w:t xml:space="preserve"> March, the exact starting and completion dates to be established each pre winter season. </w:t>
      </w:r>
    </w:p>
    <w:p w14:paraId="34931315" w14:textId="77777777" w:rsidR="00D64302" w:rsidRDefault="00D64302" w:rsidP="00D64302">
      <w:pPr>
        <w:pStyle w:val="BodyText"/>
        <w:spacing w:after="0"/>
        <w:ind w:firstLine="709"/>
        <w:rPr>
          <w:b/>
          <w:color w:val="000000"/>
          <w:u w:val="single"/>
        </w:rPr>
      </w:pPr>
      <w:r>
        <w:rPr>
          <w:b/>
          <w:color w:val="000000"/>
          <w:u w:val="single"/>
        </w:rPr>
        <w:t>Service Provision</w:t>
      </w:r>
    </w:p>
    <w:p w14:paraId="094FEDBE" w14:textId="77777777" w:rsidR="00D64302" w:rsidRDefault="00D64302" w:rsidP="00D64302">
      <w:pPr>
        <w:pStyle w:val="BodyText"/>
        <w:spacing w:after="0"/>
        <w:ind w:firstLine="709"/>
        <w:rPr>
          <w:b/>
          <w:color w:val="000000"/>
          <w:u w:val="single"/>
        </w:rPr>
      </w:pPr>
    </w:p>
    <w:p w14:paraId="5A6045B9" w14:textId="77777777" w:rsidR="00D64302" w:rsidRDefault="00D64302" w:rsidP="00D64302">
      <w:pPr>
        <w:pStyle w:val="Heading2"/>
        <w:numPr>
          <w:ilvl w:val="1"/>
          <w:numId w:val="1"/>
        </w:numPr>
        <w:spacing w:after="0"/>
        <w:ind w:left="709" w:hanging="709"/>
        <w:rPr>
          <w:color w:val="000000"/>
        </w:rPr>
      </w:pPr>
      <w:r>
        <w:rPr>
          <w:color w:val="000000"/>
        </w:rPr>
        <w:t>During this period, Tayside Contracts, the operational arm of the Road Maintenance Partnership, as principal service provider, will provide the necessary resources (including suitably trained personnel) in order to achieve the required standards. These resources cover priority</w:t>
      </w:r>
      <w:r w:rsidR="006711F2">
        <w:rPr>
          <w:color w:val="000000"/>
        </w:rPr>
        <w:t>,</w:t>
      </w:r>
      <w:r>
        <w:rPr>
          <w:color w:val="000000"/>
        </w:rPr>
        <w:t xml:space="preserve"> secondary and </w:t>
      </w:r>
      <w:proofErr w:type="spellStart"/>
      <w:r>
        <w:rPr>
          <w:color w:val="000000"/>
        </w:rPr>
        <w:t>cul</w:t>
      </w:r>
      <w:proofErr w:type="spellEnd"/>
      <w:r>
        <w:rPr>
          <w:color w:val="000000"/>
        </w:rPr>
        <w:t xml:space="preserve"> de sac carriageway routes. </w:t>
      </w:r>
    </w:p>
    <w:p w14:paraId="3A5FB0C9" w14:textId="77777777" w:rsidR="00D64302" w:rsidRPr="006E12A1" w:rsidRDefault="00D64302" w:rsidP="00D64302"/>
    <w:p w14:paraId="040DDC0D" w14:textId="77777777" w:rsidR="00D64302" w:rsidRPr="003C06CE" w:rsidRDefault="00D64302" w:rsidP="003C06CE">
      <w:pPr>
        <w:pStyle w:val="Heading2"/>
      </w:pPr>
      <w:r w:rsidRPr="003C06CE">
        <w:t>During the winter period, the Road Maintenance Partnership will operate a 24 hour winter service, using weather forecasts, road and weather monitoring data supplied through competitive tender.</w:t>
      </w:r>
    </w:p>
    <w:p w14:paraId="22BF87B6" w14:textId="77777777" w:rsidR="00D64302" w:rsidRDefault="00D64302" w:rsidP="00CF7C51">
      <w:pPr>
        <w:pStyle w:val="Heading2"/>
        <w:numPr>
          <w:ilvl w:val="1"/>
          <w:numId w:val="1"/>
        </w:numPr>
        <w:ind w:left="709" w:hanging="709"/>
      </w:pPr>
      <w:r>
        <w:t xml:space="preserve">When severe weather conditions prevent outdoor activities such as grass cutting, grounds maintenance resources </w:t>
      </w:r>
      <w:r w:rsidR="00134942">
        <w:t>may be</w:t>
      </w:r>
      <w:r>
        <w:t xml:space="preserve"> allocated to winter services as required. </w:t>
      </w:r>
    </w:p>
    <w:p w14:paraId="28C6124E" w14:textId="2C1209FB" w:rsidR="006E48F7" w:rsidRDefault="006E48F7">
      <w:pPr>
        <w:jc w:val="left"/>
      </w:pPr>
      <w:r>
        <w:br w:type="page"/>
      </w:r>
    </w:p>
    <w:p w14:paraId="4B15A0C0" w14:textId="77777777" w:rsidR="0048193C" w:rsidRDefault="0048193C" w:rsidP="00D64302"/>
    <w:p w14:paraId="51B91539" w14:textId="77777777" w:rsidR="00D64302" w:rsidRDefault="00D64302" w:rsidP="003C06CE">
      <w:pPr>
        <w:pStyle w:val="Heading1"/>
        <w:keepNext/>
        <w:numPr>
          <w:ilvl w:val="0"/>
          <w:numId w:val="23"/>
        </w:numPr>
        <w:spacing w:after="0"/>
        <w:ind w:left="0" w:firstLine="0"/>
      </w:pPr>
      <w:r>
        <w:tab/>
      </w:r>
      <w:r w:rsidR="006711F2">
        <w:t>INFORMATION FOR ACTION</w:t>
      </w:r>
    </w:p>
    <w:p w14:paraId="44701236" w14:textId="77777777" w:rsidR="00D64302" w:rsidRPr="00AA04DE" w:rsidRDefault="00D64302" w:rsidP="003C06CE">
      <w:pPr>
        <w:keepNext/>
      </w:pPr>
    </w:p>
    <w:p w14:paraId="1A7767AE" w14:textId="77777777" w:rsidR="00D64302" w:rsidRDefault="00D64302" w:rsidP="00D64302">
      <w:pPr>
        <w:pStyle w:val="BodyText"/>
        <w:ind w:firstLine="709"/>
        <w:rPr>
          <w:color w:val="000000"/>
        </w:rPr>
      </w:pPr>
      <w:r>
        <w:rPr>
          <w:b/>
          <w:color w:val="000000"/>
          <w:u w:val="single"/>
        </w:rPr>
        <w:t>Levels of Readiness</w:t>
      </w:r>
    </w:p>
    <w:p w14:paraId="71D12B51" w14:textId="77777777" w:rsidR="00D64302" w:rsidRDefault="00D64302" w:rsidP="0048193C">
      <w:pPr>
        <w:pStyle w:val="Heading2"/>
      </w:pPr>
      <w:r>
        <w:t>Three levels of readiness are to be applied throughout the Winter period:</w:t>
      </w:r>
    </w:p>
    <w:p w14:paraId="0077A99B" w14:textId="77777777" w:rsidR="00D64302" w:rsidRDefault="00D64302" w:rsidP="00D64302">
      <w:pPr>
        <w:tabs>
          <w:tab w:val="left" w:pos="1080"/>
        </w:tabs>
        <w:ind w:firstLine="709"/>
        <w:rPr>
          <w:rFonts w:cs="Arial"/>
          <w:b/>
          <w:bCs/>
          <w:szCs w:val="24"/>
        </w:rPr>
      </w:pPr>
      <w:r>
        <w:rPr>
          <w:rFonts w:cs="Arial"/>
          <w:b/>
          <w:bCs/>
          <w:szCs w:val="24"/>
        </w:rPr>
        <w:t>Green:</w:t>
      </w:r>
    </w:p>
    <w:p w14:paraId="09B2576F" w14:textId="77777777" w:rsidR="00D64302" w:rsidRDefault="00D64302" w:rsidP="00D64302">
      <w:pPr>
        <w:tabs>
          <w:tab w:val="left" w:pos="1080"/>
        </w:tabs>
        <w:ind w:firstLine="709"/>
        <w:rPr>
          <w:rFonts w:cs="Arial"/>
          <w:b/>
          <w:bCs/>
          <w:szCs w:val="24"/>
        </w:rPr>
      </w:pPr>
    </w:p>
    <w:p w14:paraId="19D0F2AD" w14:textId="7ECF94FF" w:rsidR="00A37EC4" w:rsidRDefault="00D64302" w:rsidP="0048193C">
      <w:pPr>
        <w:pStyle w:val="Heading2"/>
      </w:pPr>
      <w:r>
        <w:t xml:space="preserve">‘Normal’ monitoring and action conditions apply. </w:t>
      </w:r>
      <w:r w:rsidR="000F154F">
        <w:t xml:space="preserve"> </w:t>
      </w:r>
      <w:r>
        <w:t>When sub</w:t>
      </w:r>
      <w:r w:rsidR="007840A1">
        <w:t>-</w:t>
      </w:r>
      <w:r>
        <w:t>zero temperatures are forecast over no more than 4 consecutive days to be followed by a thaw, a daily standard action</w:t>
      </w:r>
      <w:r w:rsidR="00C46239">
        <w:t xml:space="preserve"> of</w:t>
      </w:r>
      <w:r>
        <w:t xml:space="preserve"> pre-grits on Priority Routes will be applied</w:t>
      </w:r>
      <w:r w:rsidR="0088791B">
        <w:t>.</w:t>
      </w:r>
      <w:r>
        <w:t xml:space="preserve">  Only staff and workforce whose normal duties include winter action, monitoring and supervision are involved.</w:t>
      </w:r>
      <w:r w:rsidR="00A37EC4">
        <w:t xml:space="preserve"> </w:t>
      </w:r>
    </w:p>
    <w:p w14:paraId="7FFAA269" w14:textId="77777777" w:rsidR="00A37EC4" w:rsidRPr="00A37EC4" w:rsidRDefault="00A37EC4" w:rsidP="0048193C">
      <w:pPr>
        <w:pStyle w:val="Heading2"/>
      </w:pPr>
      <w:r>
        <w:t>Routes treated u</w:t>
      </w:r>
      <w:r w:rsidRPr="00394E71">
        <w:rPr>
          <w:szCs w:val="22"/>
        </w:rPr>
        <w:t>nder Green</w:t>
      </w:r>
      <w:r>
        <w:rPr>
          <w:szCs w:val="22"/>
        </w:rPr>
        <w:t xml:space="preserve">: </w:t>
      </w:r>
    </w:p>
    <w:p w14:paraId="4D358A3F" w14:textId="77777777" w:rsidR="00A37EC4" w:rsidRDefault="00A37EC4" w:rsidP="00A37EC4">
      <w:pPr>
        <w:pStyle w:val="Heading3"/>
      </w:pPr>
      <w:r>
        <w:t>Carriageway Priority routes only.</w:t>
      </w:r>
    </w:p>
    <w:p w14:paraId="1A056AEE" w14:textId="77777777" w:rsidR="00D64302" w:rsidRDefault="00A37EC4" w:rsidP="00A37EC4">
      <w:pPr>
        <w:pStyle w:val="Heading3"/>
      </w:pPr>
      <w:r>
        <w:t xml:space="preserve">Footway: No treatment of footway routes.  </w:t>
      </w:r>
    </w:p>
    <w:p w14:paraId="5CE3F058" w14:textId="77777777" w:rsidR="00D64302" w:rsidRDefault="00D64302" w:rsidP="003C06CE">
      <w:pPr>
        <w:keepNext/>
        <w:tabs>
          <w:tab w:val="left" w:pos="1080"/>
        </w:tabs>
        <w:ind w:firstLine="706"/>
        <w:rPr>
          <w:rFonts w:cs="Arial"/>
          <w:b/>
          <w:bCs/>
          <w:szCs w:val="24"/>
        </w:rPr>
      </w:pPr>
      <w:r>
        <w:rPr>
          <w:rFonts w:cs="Arial"/>
          <w:b/>
          <w:bCs/>
          <w:szCs w:val="24"/>
        </w:rPr>
        <w:t>Amber:</w:t>
      </w:r>
    </w:p>
    <w:p w14:paraId="2F884F8A" w14:textId="77777777" w:rsidR="00D64302" w:rsidRDefault="00D64302" w:rsidP="003C06CE">
      <w:pPr>
        <w:keepNext/>
        <w:tabs>
          <w:tab w:val="left" w:pos="1080"/>
        </w:tabs>
        <w:ind w:firstLine="706"/>
        <w:rPr>
          <w:rFonts w:cs="Arial"/>
          <w:b/>
          <w:bCs/>
          <w:szCs w:val="24"/>
        </w:rPr>
      </w:pPr>
    </w:p>
    <w:p w14:paraId="1B60265E" w14:textId="77777777" w:rsidR="00D64302" w:rsidRDefault="00D64302" w:rsidP="00A37EC4">
      <w:pPr>
        <w:pStyle w:val="Heading2"/>
      </w:pPr>
      <w:r>
        <w:t xml:space="preserve">Extended monitoring and action conditions apply. </w:t>
      </w:r>
      <w:r w:rsidR="000F154F">
        <w:t xml:space="preserve"> </w:t>
      </w:r>
      <w:r>
        <w:t>When prolonged freezing conditions i.e. 5-10 consecutive days, snowfall or extreme ice is forecast.  Additional staff will be allocated duties to handle extende</w:t>
      </w:r>
      <w:r w:rsidR="00134942">
        <w:t>d reporting systems</w:t>
      </w:r>
      <w:r w:rsidRPr="00134942">
        <w:t xml:space="preserve">. Workforce participation will be extended as appropriate, other Services will be notified for assistance as required, including Emergency Planning, </w:t>
      </w:r>
      <w:r w:rsidR="00D94DB6" w:rsidRPr="00134942">
        <w:t xml:space="preserve">Neighbourhood Services: Environment </w:t>
      </w:r>
      <w:r w:rsidRPr="00134942">
        <w:t>and Emergency Services.  The state of readiness of plant and equipment will be checked, inspect and replenish grit bins where appropriate.</w:t>
      </w:r>
    </w:p>
    <w:p w14:paraId="52ACB7B1" w14:textId="77777777" w:rsidR="00A37EC4" w:rsidRPr="00A37EC4" w:rsidRDefault="00A37EC4" w:rsidP="00A37EC4">
      <w:pPr>
        <w:pStyle w:val="Heading2"/>
      </w:pPr>
      <w:r>
        <w:t>Routes treated u</w:t>
      </w:r>
      <w:r w:rsidRPr="00394E71">
        <w:rPr>
          <w:szCs w:val="22"/>
        </w:rPr>
        <w:t xml:space="preserve">nder </w:t>
      </w:r>
      <w:r>
        <w:rPr>
          <w:szCs w:val="22"/>
        </w:rPr>
        <w:t xml:space="preserve">Amber: </w:t>
      </w:r>
    </w:p>
    <w:p w14:paraId="470FEF72" w14:textId="77777777" w:rsidR="00A37EC4" w:rsidRDefault="00A37EC4" w:rsidP="00A37EC4">
      <w:pPr>
        <w:pStyle w:val="Heading3"/>
      </w:pPr>
      <w:r>
        <w:t>Carriagewa</w:t>
      </w:r>
      <w:r w:rsidR="00D910E2">
        <w:t>y Priority and Secondary routes,</w:t>
      </w:r>
      <w:r>
        <w:t xml:space="preserve"> </w:t>
      </w:r>
      <w:r w:rsidR="00D910E2">
        <w:t>a</w:t>
      </w:r>
      <w:r>
        <w:t>ny</w:t>
      </w:r>
      <w:r w:rsidR="00D910E2">
        <w:t xml:space="preserve"> variance from this at discretion of RMP Manager</w:t>
      </w:r>
      <w:r>
        <w:t xml:space="preserve">. </w:t>
      </w:r>
    </w:p>
    <w:p w14:paraId="4961C2B4" w14:textId="77777777" w:rsidR="00A37EC4" w:rsidRDefault="00A37EC4" w:rsidP="00A37EC4">
      <w:pPr>
        <w:pStyle w:val="Heading3"/>
      </w:pPr>
      <w:r>
        <w:t xml:space="preserve">Footway: </w:t>
      </w:r>
      <w:r w:rsidR="00D910E2">
        <w:t>P</w:t>
      </w:r>
      <w:r>
        <w:t xml:space="preserve">riority </w:t>
      </w:r>
      <w:r w:rsidR="00D910E2">
        <w:t>routes, any variance from this at discretion of RMP Manager.</w:t>
      </w:r>
    </w:p>
    <w:p w14:paraId="46774882" w14:textId="77777777" w:rsidR="00D64302" w:rsidRDefault="00D64302" w:rsidP="00D64302">
      <w:pPr>
        <w:keepNext/>
        <w:tabs>
          <w:tab w:val="left" w:pos="1080"/>
        </w:tabs>
        <w:ind w:firstLine="709"/>
        <w:rPr>
          <w:rFonts w:cs="Arial"/>
          <w:b/>
          <w:bCs/>
          <w:szCs w:val="24"/>
        </w:rPr>
      </w:pPr>
      <w:r>
        <w:rPr>
          <w:rFonts w:cs="Arial"/>
          <w:b/>
          <w:bCs/>
          <w:szCs w:val="24"/>
        </w:rPr>
        <w:t>Red:</w:t>
      </w:r>
    </w:p>
    <w:p w14:paraId="69258A40" w14:textId="77777777" w:rsidR="00D64302" w:rsidRDefault="00D64302" w:rsidP="00D64302">
      <w:pPr>
        <w:keepNext/>
        <w:tabs>
          <w:tab w:val="left" w:pos="1080"/>
        </w:tabs>
        <w:ind w:firstLine="709"/>
        <w:rPr>
          <w:rFonts w:cs="Arial"/>
          <w:b/>
          <w:bCs/>
          <w:szCs w:val="24"/>
        </w:rPr>
      </w:pPr>
    </w:p>
    <w:p w14:paraId="6035B016" w14:textId="77777777" w:rsidR="00D64302" w:rsidRDefault="00D64302" w:rsidP="0048193C">
      <w:pPr>
        <w:pStyle w:val="Heading2"/>
      </w:pPr>
      <w:r>
        <w:t>Full monitoring and action conditions apply. Severe and continued snowfall or extreme ice is forecast endangering the continuity of the infrastructure.  Actions as per Amber, mobilisation of additional external resource and supplementary resource from other departments.  Full reporting systems in place</w:t>
      </w:r>
      <w:r w:rsidR="00D910E2">
        <w:t>, including</w:t>
      </w:r>
      <w:r>
        <w:t xml:space="preserve"> daily status reports to members, Contact Centre, emergency services and appropriate Council Services. </w:t>
      </w:r>
    </w:p>
    <w:p w14:paraId="06B118FB" w14:textId="77777777" w:rsidR="00D64302" w:rsidRDefault="00D64302" w:rsidP="00D64302">
      <w:pPr>
        <w:tabs>
          <w:tab w:val="left" w:pos="1080"/>
        </w:tabs>
        <w:ind w:left="720"/>
        <w:rPr>
          <w:rFonts w:cs="Arial"/>
          <w:bCs/>
          <w:szCs w:val="24"/>
        </w:rPr>
      </w:pPr>
    </w:p>
    <w:p w14:paraId="5318189E" w14:textId="77777777" w:rsidR="00D910E2" w:rsidRPr="00A37EC4" w:rsidRDefault="00D910E2" w:rsidP="00D910E2">
      <w:pPr>
        <w:pStyle w:val="Heading2"/>
      </w:pPr>
      <w:r>
        <w:t>Routes treated u</w:t>
      </w:r>
      <w:r w:rsidRPr="00394E71">
        <w:rPr>
          <w:szCs w:val="22"/>
        </w:rPr>
        <w:t xml:space="preserve">nder </w:t>
      </w:r>
      <w:r>
        <w:rPr>
          <w:szCs w:val="22"/>
        </w:rPr>
        <w:t xml:space="preserve">Red: </w:t>
      </w:r>
    </w:p>
    <w:p w14:paraId="5E755185" w14:textId="77777777" w:rsidR="00D910E2" w:rsidRDefault="00D910E2" w:rsidP="00D910E2">
      <w:pPr>
        <w:pStyle w:val="Heading3"/>
      </w:pPr>
      <w:r>
        <w:t xml:space="preserve">Carriageway Priority, Secondary and </w:t>
      </w:r>
      <w:proofErr w:type="spellStart"/>
      <w:r>
        <w:t>cul</w:t>
      </w:r>
      <w:proofErr w:type="spellEnd"/>
      <w:r>
        <w:t xml:space="preserve"> de sac routes, any variance from this at discretion of</w:t>
      </w:r>
      <w:r w:rsidR="00661E5E">
        <w:rPr>
          <w:color w:val="0070C0"/>
        </w:rPr>
        <w:t xml:space="preserve"> </w:t>
      </w:r>
      <w:r w:rsidR="00661E5E" w:rsidRPr="00661E5E">
        <w:t>RMP Manager</w:t>
      </w:r>
      <w:r w:rsidRPr="00050049">
        <w:rPr>
          <w:color w:val="FF0000"/>
        </w:rPr>
        <w:t xml:space="preserve">. </w:t>
      </w:r>
    </w:p>
    <w:p w14:paraId="70110B61" w14:textId="77777777" w:rsidR="006E48F7" w:rsidRPr="006E48F7" w:rsidRDefault="00D910E2" w:rsidP="00D64302">
      <w:pPr>
        <w:pStyle w:val="Heading3"/>
        <w:tabs>
          <w:tab w:val="left" w:pos="1080"/>
        </w:tabs>
        <w:ind w:left="1080" w:hanging="360"/>
        <w:rPr>
          <w:rFonts w:cs="Arial"/>
          <w:bCs/>
          <w:szCs w:val="24"/>
        </w:rPr>
      </w:pPr>
      <w:r>
        <w:t xml:space="preserve">Footway: Priority and secondary routes, any variance from this at discretion of </w:t>
      </w:r>
      <w:r w:rsidRPr="00661E5E">
        <w:t>RMP Manager</w:t>
      </w:r>
      <w:r w:rsidRPr="004E6CB8">
        <w:t>.</w:t>
      </w:r>
    </w:p>
    <w:p w14:paraId="52C6FF48" w14:textId="77777777" w:rsidR="006E48F7" w:rsidRDefault="006E48F7">
      <w:pPr>
        <w:jc w:val="left"/>
        <w:rPr>
          <w:color w:val="FF0000"/>
        </w:rPr>
      </w:pPr>
      <w:r>
        <w:rPr>
          <w:color w:val="FF0000"/>
        </w:rPr>
        <w:br w:type="page"/>
      </w:r>
    </w:p>
    <w:p w14:paraId="55C53947" w14:textId="58EE8DE9" w:rsidR="00D64302" w:rsidRPr="00134942" w:rsidRDefault="00D910E2" w:rsidP="006E48F7">
      <w:pPr>
        <w:pStyle w:val="Heading3"/>
        <w:numPr>
          <w:ilvl w:val="0"/>
          <w:numId w:val="0"/>
        </w:numPr>
        <w:tabs>
          <w:tab w:val="left" w:pos="1080"/>
        </w:tabs>
        <w:rPr>
          <w:rFonts w:cs="Arial"/>
          <w:bCs/>
          <w:szCs w:val="24"/>
        </w:rPr>
      </w:pPr>
      <w:r w:rsidRPr="00050049">
        <w:rPr>
          <w:color w:val="FF0000"/>
        </w:rPr>
        <w:lastRenderedPageBreak/>
        <w:t xml:space="preserve"> </w:t>
      </w:r>
    </w:p>
    <w:p w14:paraId="0A332A18" w14:textId="77777777" w:rsidR="00D64302" w:rsidRDefault="00D64302" w:rsidP="003C06CE">
      <w:pPr>
        <w:pStyle w:val="Heading1"/>
      </w:pPr>
      <w:r>
        <w:t xml:space="preserve">PRIORITIES </w:t>
      </w:r>
      <w:smartTag w:uri="urn:schemas-microsoft-com:office:smarttags" w:element="stockticker">
        <w:r>
          <w:t>AND</w:t>
        </w:r>
      </w:smartTag>
      <w:r>
        <w:t xml:space="preserve"> TREATMENT STANDARDS</w:t>
      </w:r>
    </w:p>
    <w:p w14:paraId="67E29144" w14:textId="77777777" w:rsidR="006711F2" w:rsidRDefault="006711F2" w:rsidP="006711F2">
      <w:pPr>
        <w:ind w:left="720"/>
        <w:rPr>
          <w:u w:val="single"/>
        </w:rPr>
      </w:pPr>
      <w:r>
        <w:rPr>
          <w:u w:val="single"/>
        </w:rPr>
        <w:t>Adopted Carriageways</w:t>
      </w:r>
    </w:p>
    <w:p w14:paraId="79EBC088" w14:textId="77777777" w:rsidR="006711F2" w:rsidRPr="006711F2" w:rsidRDefault="006711F2" w:rsidP="006711F2">
      <w:pPr>
        <w:ind w:left="720"/>
        <w:rPr>
          <w:u w:val="single"/>
        </w:rPr>
      </w:pPr>
    </w:p>
    <w:p w14:paraId="644611A6" w14:textId="77777777" w:rsidR="00D64302" w:rsidRPr="00D64302" w:rsidRDefault="00D64302" w:rsidP="00D64302">
      <w:pPr>
        <w:pStyle w:val="Heading2"/>
        <w:numPr>
          <w:ilvl w:val="1"/>
          <w:numId w:val="1"/>
        </w:numPr>
        <w:ind w:left="709" w:hanging="709"/>
      </w:pPr>
      <w:r>
        <w:t xml:space="preserve">The basis for establishing priority routes </w:t>
      </w:r>
      <w:r w:rsidRPr="00D64302">
        <w:t xml:space="preserve">in relation to the formally adopted road network </w:t>
      </w:r>
      <w:r w:rsidRPr="00D64302">
        <w:rPr>
          <w:bCs/>
        </w:rPr>
        <w:t>is as follows</w:t>
      </w:r>
      <w:r w:rsidRPr="00D64302">
        <w:t>:</w:t>
      </w:r>
    </w:p>
    <w:p w14:paraId="6F1FEB0A" w14:textId="77777777" w:rsidR="00D64302" w:rsidRDefault="00D64302" w:rsidP="00D64302">
      <w:pPr>
        <w:pStyle w:val="Heading2"/>
        <w:numPr>
          <w:ilvl w:val="0"/>
          <w:numId w:val="18"/>
        </w:numPr>
        <w:tabs>
          <w:tab w:val="clear" w:pos="648"/>
          <w:tab w:val="left" w:pos="1260"/>
        </w:tabs>
        <w:spacing w:after="0"/>
        <w:ind w:left="1260" w:hanging="540"/>
      </w:pPr>
      <w:r>
        <w:t>All strategic routes</w:t>
      </w:r>
    </w:p>
    <w:p w14:paraId="3688C164" w14:textId="77777777" w:rsidR="00D64302" w:rsidRDefault="00D64302" w:rsidP="00D64302">
      <w:pPr>
        <w:pStyle w:val="Heading2"/>
        <w:numPr>
          <w:ilvl w:val="0"/>
          <w:numId w:val="18"/>
        </w:numPr>
        <w:tabs>
          <w:tab w:val="clear" w:pos="648"/>
          <w:tab w:val="left" w:pos="1260"/>
        </w:tabs>
        <w:spacing w:after="0"/>
        <w:ind w:left="1260" w:hanging="540"/>
      </w:pPr>
      <w:r>
        <w:t>Main service bus routes</w:t>
      </w:r>
    </w:p>
    <w:p w14:paraId="376FDC64" w14:textId="77777777" w:rsidR="00D64302" w:rsidRDefault="00D64302" w:rsidP="00D64302">
      <w:pPr>
        <w:pStyle w:val="Heading2"/>
        <w:numPr>
          <w:ilvl w:val="0"/>
          <w:numId w:val="18"/>
        </w:numPr>
        <w:tabs>
          <w:tab w:val="clear" w:pos="648"/>
          <w:tab w:val="left" w:pos="1260"/>
        </w:tabs>
        <w:spacing w:after="0"/>
        <w:ind w:left="1260" w:hanging="540"/>
      </w:pPr>
      <w:r>
        <w:t>Other heavily trafficked roads</w:t>
      </w:r>
    </w:p>
    <w:p w14:paraId="5966B19B" w14:textId="77777777" w:rsidR="00D64302" w:rsidRDefault="00D64302" w:rsidP="00D64302">
      <w:pPr>
        <w:pStyle w:val="Heading2"/>
        <w:numPr>
          <w:ilvl w:val="0"/>
          <w:numId w:val="18"/>
        </w:numPr>
        <w:tabs>
          <w:tab w:val="clear" w:pos="648"/>
          <w:tab w:val="left" w:pos="1260"/>
        </w:tabs>
        <w:spacing w:after="0"/>
        <w:ind w:left="1260" w:hanging="540"/>
      </w:pPr>
      <w:r>
        <w:t>Other adopted roads</w:t>
      </w:r>
    </w:p>
    <w:p w14:paraId="53B879E0" w14:textId="77777777" w:rsidR="00D64302" w:rsidRDefault="00D64302" w:rsidP="00D64302">
      <w:pPr>
        <w:pStyle w:val="Heading2"/>
        <w:numPr>
          <w:ilvl w:val="0"/>
          <w:numId w:val="0"/>
        </w:numPr>
        <w:spacing w:after="0"/>
        <w:ind w:left="720"/>
      </w:pPr>
    </w:p>
    <w:p w14:paraId="672855CC" w14:textId="77777777" w:rsidR="00D64302" w:rsidRDefault="00D64302" w:rsidP="00D64302">
      <w:pPr>
        <w:ind w:left="709" w:hanging="709"/>
      </w:pPr>
      <w:r>
        <w:t>4.2</w:t>
      </w:r>
      <w:r>
        <w:tab/>
        <w:t>In order that treatment of major roads (</w:t>
      </w:r>
      <w:proofErr w:type="spellStart"/>
      <w:r>
        <w:rPr>
          <w:rFonts w:ascii="Tahoma" w:hAnsi="Tahoma" w:cs="Tahoma"/>
        </w:rPr>
        <w:t>i</w:t>
      </w:r>
      <w:proofErr w:type="spellEnd"/>
      <w:r>
        <w:t>-</w:t>
      </w:r>
      <w:r>
        <w:rPr>
          <w:rFonts w:cs="Arial"/>
        </w:rPr>
        <w:t xml:space="preserve">iii above) can be </w:t>
      </w:r>
      <w:r>
        <w:t>provided within an acceptable timescale, the number and length of priority routes must be held to a level commensurate with available resources.</w:t>
      </w:r>
    </w:p>
    <w:p w14:paraId="117061A2" w14:textId="77777777" w:rsidR="00D64302" w:rsidRDefault="00D64302" w:rsidP="00D64302">
      <w:pPr>
        <w:pStyle w:val="Heading2"/>
        <w:numPr>
          <w:ilvl w:val="0"/>
          <w:numId w:val="0"/>
        </w:numPr>
        <w:spacing w:after="0"/>
        <w:ind w:left="900" w:hanging="900"/>
      </w:pPr>
    </w:p>
    <w:p w14:paraId="1F5E3442" w14:textId="77777777" w:rsidR="00D64302" w:rsidRPr="00134942" w:rsidRDefault="00D64302" w:rsidP="00D64302">
      <w:pPr>
        <w:pStyle w:val="Heading2"/>
        <w:numPr>
          <w:ilvl w:val="0"/>
          <w:numId w:val="0"/>
        </w:numPr>
        <w:ind w:left="720" w:hanging="720"/>
      </w:pPr>
      <w:r w:rsidRPr="00134942">
        <w:tab/>
      </w:r>
      <w:r w:rsidRPr="00134942">
        <w:rPr>
          <w:u w:val="single"/>
        </w:rPr>
        <w:t>Night Shift Cover</w:t>
      </w:r>
    </w:p>
    <w:p w14:paraId="7C07887D" w14:textId="4CC81FF9" w:rsidR="00D64302" w:rsidRPr="00134942" w:rsidRDefault="00D64302" w:rsidP="00D64302">
      <w:pPr>
        <w:pStyle w:val="Heading2"/>
        <w:numPr>
          <w:ilvl w:val="0"/>
          <w:numId w:val="0"/>
        </w:numPr>
        <w:ind w:left="720" w:hanging="720"/>
      </w:pPr>
      <w:r w:rsidRPr="00134942">
        <w:t>4.3</w:t>
      </w:r>
      <w:r w:rsidRPr="00134942">
        <w:tab/>
        <w:t xml:space="preserve">A limited night shift cover will operate on certain routes of </w:t>
      </w:r>
      <w:r w:rsidR="00134942" w:rsidRPr="00134942">
        <w:t>strategic</w:t>
      </w:r>
      <w:r w:rsidRPr="00134942">
        <w:t xml:space="preserve"> importance within Dundee City because of the need to treat these roads out</w:t>
      </w:r>
      <w:r w:rsidR="007801F2">
        <w:t>-</w:t>
      </w:r>
      <w:r w:rsidRPr="00134942">
        <w:t>with priority treatment times.</w:t>
      </w:r>
    </w:p>
    <w:p w14:paraId="480C0C4F" w14:textId="77777777" w:rsidR="00D64302" w:rsidRPr="00134942" w:rsidRDefault="00D64302" w:rsidP="00D64302">
      <w:pPr>
        <w:pStyle w:val="Heading2"/>
        <w:keepNext/>
        <w:numPr>
          <w:ilvl w:val="0"/>
          <w:numId w:val="0"/>
        </w:numPr>
        <w:ind w:left="720"/>
      </w:pPr>
      <w:r w:rsidRPr="00134942">
        <w:rPr>
          <w:u w:val="single"/>
        </w:rPr>
        <w:t>Treatment Routes</w:t>
      </w:r>
    </w:p>
    <w:p w14:paraId="114117EE" w14:textId="77777777" w:rsidR="00D64302" w:rsidRPr="00134942" w:rsidRDefault="00CF7C51" w:rsidP="00CF7C51">
      <w:pPr>
        <w:pStyle w:val="Heading2"/>
        <w:keepNext/>
        <w:numPr>
          <w:ilvl w:val="0"/>
          <w:numId w:val="0"/>
        </w:numPr>
        <w:tabs>
          <w:tab w:val="left" w:pos="709"/>
        </w:tabs>
        <w:spacing w:after="0"/>
        <w:ind w:left="720" w:hanging="720"/>
      </w:pPr>
      <w:r w:rsidRPr="00134942">
        <w:t>4.4</w:t>
      </w:r>
      <w:r w:rsidRPr="00134942">
        <w:tab/>
      </w:r>
      <w:r w:rsidRPr="00134942">
        <w:tab/>
      </w:r>
      <w:r w:rsidR="00D64302" w:rsidRPr="00134942">
        <w:t>The respective categories covered are as follows:</w:t>
      </w:r>
    </w:p>
    <w:p w14:paraId="093FC827" w14:textId="77777777" w:rsidR="00D64302" w:rsidRPr="00134942" w:rsidRDefault="00D64302" w:rsidP="00D64302">
      <w:pPr>
        <w:pStyle w:val="Heading2"/>
        <w:numPr>
          <w:ilvl w:val="0"/>
          <w:numId w:val="0"/>
        </w:numPr>
        <w:spacing w:after="0"/>
        <w:ind w:left="720"/>
      </w:pPr>
    </w:p>
    <w:tbl>
      <w:tblPr>
        <w:tblW w:w="0" w:type="auto"/>
        <w:tblInd w:w="918" w:type="dxa"/>
        <w:tblLayout w:type="fixed"/>
        <w:tblLook w:val="0000" w:firstRow="0" w:lastRow="0" w:firstColumn="0" w:lastColumn="0" w:noHBand="0" w:noVBand="0"/>
      </w:tblPr>
      <w:tblGrid>
        <w:gridCol w:w="3488"/>
        <w:gridCol w:w="2002"/>
      </w:tblGrid>
      <w:tr w:rsidR="0088791B" w:rsidRPr="00134942" w14:paraId="183AF174" w14:textId="77777777">
        <w:tc>
          <w:tcPr>
            <w:tcW w:w="3488" w:type="dxa"/>
          </w:tcPr>
          <w:p w14:paraId="6EEE269B" w14:textId="77777777" w:rsidR="00D64302" w:rsidRPr="00134942" w:rsidRDefault="00D64302" w:rsidP="00D64302">
            <w:pPr>
              <w:pStyle w:val="NormalIndent"/>
              <w:keepNext/>
              <w:spacing w:after="120"/>
              <w:ind w:left="-209" w:firstLine="209"/>
              <w:rPr>
                <w:u w:val="single"/>
              </w:rPr>
            </w:pPr>
            <w:r w:rsidRPr="00134942">
              <w:rPr>
                <w:u w:val="single"/>
              </w:rPr>
              <w:t>Route Category</w:t>
            </w:r>
          </w:p>
        </w:tc>
        <w:tc>
          <w:tcPr>
            <w:tcW w:w="2002" w:type="dxa"/>
          </w:tcPr>
          <w:p w14:paraId="414BE91E" w14:textId="77777777" w:rsidR="00D64302" w:rsidRPr="00134942" w:rsidRDefault="00D64302" w:rsidP="00D64302">
            <w:pPr>
              <w:pStyle w:val="NormalIndent"/>
              <w:keepNext/>
              <w:spacing w:after="120"/>
              <w:ind w:left="0"/>
              <w:rPr>
                <w:u w:val="single"/>
              </w:rPr>
            </w:pPr>
            <w:r w:rsidRPr="00134942">
              <w:rPr>
                <w:u w:val="single"/>
              </w:rPr>
              <w:t>Hours of Cover</w:t>
            </w:r>
          </w:p>
        </w:tc>
      </w:tr>
      <w:tr w:rsidR="0088791B" w:rsidRPr="00134942" w14:paraId="4773770A" w14:textId="77777777">
        <w:tc>
          <w:tcPr>
            <w:tcW w:w="3488" w:type="dxa"/>
          </w:tcPr>
          <w:p w14:paraId="284DA28B" w14:textId="77777777" w:rsidR="00D64302" w:rsidRPr="00134942" w:rsidRDefault="00D64302" w:rsidP="00D64302">
            <w:pPr>
              <w:pStyle w:val="NormalIndent"/>
              <w:keepNext/>
              <w:ind w:left="0"/>
            </w:pPr>
            <w:r w:rsidRPr="00134942">
              <w:t>Priority Routes</w:t>
            </w:r>
          </w:p>
        </w:tc>
        <w:tc>
          <w:tcPr>
            <w:tcW w:w="2002" w:type="dxa"/>
          </w:tcPr>
          <w:p w14:paraId="45617933" w14:textId="34A1A5CC" w:rsidR="00D64302" w:rsidRPr="00134942" w:rsidRDefault="00D64302" w:rsidP="00A561E8">
            <w:pPr>
              <w:pStyle w:val="NormalIndent"/>
              <w:keepNext/>
              <w:ind w:left="0"/>
            </w:pPr>
            <w:r w:rsidRPr="00134942">
              <w:t>0500-2</w:t>
            </w:r>
            <w:r w:rsidR="00A561E8">
              <w:t>1</w:t>
            </w:r>
            <w:r w:rsidRPr="00134942">
              <w:t>00</w:t>
            </w:r>
          </w:p>
        </w:tc>
      </w:tr>
      <w:tr w:rsidR="0088791B" w:rsidRPr="00134942" w14:paraId="6F6D9971" w14:textId="77777777">
        <w:tc>
          <w:tcPr>
            <w:tcW w:w="3488" w:type="dxa"/>
          </w:tcPr>
          <w:p w14:paraId="33AA887C" w14:textId="77777777" w:rsidR="00D64302" w:rsidRPr="00134942" w:rsidRDefault="00D64302" w:rsidP="00D64302">
            <w:pPr>
              <w:pStyle w:val="NormalIndent"/>
              <w:ind w:left="0"/>
            </w:pPr>
            <w:r w:rsidRPr="00134942">
              <w:t>Secondary Routes</w:t>
            </w:r>
          </w:p>
          <w:p w14:paraId="3042CC53" w14:textId="77777777" w:rsidR="00D64302" w:rsidRPr="00134942" w:rsidRDefault="00D64302" w:rsidP="00D64302">
            <w:pPr>
              <w:pStyle w:val="NormalIndent"/>
              <w:ind w:left="0"/>
            </w:pPr>
            <w:proofErr w:type="spellStart"/>
            <w:r w:rsidRPr="00134942">
              <w:t>Cul</w:t>
            </w:r>
            <w:proofErr w:type="spellEnd"/>
            <w:r w:rsidRPr="00134942">
              <w:t xml:space="preserve"> de sac Routes</w:t>
            </w:r>
          </w:p>
        </w:tc>
        <w:tc>
          <w:tcPr>
            <w:tcW w:w="2002" w:type="dxa"/>
          </w:tcPr>
          <w:p w14:paraId="0DA54660" w14:textId="77777777" w:rsidR="00D64302" w:rsidRPr="00134942" w:rsidRDefault="00D64302" w:rsidP="00D64302">
            <w:pPr>
              <w:pStyle w:val="NormalIndent"/>
              <w:ind w:left="0"/>
            </w:pPr>
            <w:r w:rsidRPr="00134942">
              <w:t>0730-1600</w:t>
            </w:r>
          </w:p>
          <w:p w14:paraId="18898986" w14:textId="77777777" w:rsidR="00D64302" w:rsidRPr="00134942" w:rsidRDefault="00D64302" w:rsidP="00D64302">
            <w:pPr>
              <w:pStyle w:val="NormalIndent"/>
              <w:ind w:left="0"/>
            </w:pPr>
            <w:r w:rsidRPr="00134942">
              <w:t>0730-1600</w:t>
            </w:r>
          </w:p>
        </w:tc>
      </w:tr>
    </w:tbl>
    <w:p w14:paraId="5AA473FE" w14:textId="77777777" w:rsidR="00D64302" w:rsidRPr="00134942" w:rsidRDefault="00464A25" w:rsidP="00D64302">
      <w:r w:rsidRPr="00134942">
        <w:tab/>
      </w:r>
    </w:p>
    <w:p w14:paraId="7202BF7F" w14:textId="77777777" w:rsidR="00D64302" w:rsidRPr="00134942" w:rsidRDefault="00D64302" w:rsidP="00D64302">
      <w:pPr>
        <w:pStyle w:val="Heading2"/>
        <w:numPr>
          <w:ilvl w:val="0"/>
          <w:numId w:val="0"/>
        </w:numPr>
        <w:ind w:left="709" w:firstLine="11"/>
      </w:pPr>
      <w:r w:rsidRPr="00134942">
        <w:rPr>
          <w:u w:val="single"/>
        </w:rPr>
        <w:t>Priority Routes</w:t>
      </w:r>
    </w:p>
    <w:p w14:paraId="6E795E60" w14:textId="77777777" w:rsidR="00D64302" w:rsidRPr="00134942" w:rsidRDefault="00D64302" w:rsidP="00D64302">
      <w:pPr>
        <w:ind w:left="720" w:hanging="720"/>
      </w:pPr>
      <w:r w:rsidRPr="00134942">
        <w:t>4.</w:t>
      </w:r>
      <w:r w:rsidR="00513060" w:rsidRPr="00134942">
        <w:t>7</w:t>
      </w:r>
      <w:r w:rsidRPr="00134942">
        <w:tab/>
        <w:t>The main standby system will operate for all priority routes.</w:t>
      </w:r>
    </w:p>
    <w:p w14:paraId="412670CD" w14:textId="77777777" w:rsidR="00D64302" w:rsidRPr="00134942" w:rsidRDefault="00D64302" w:rsidP="00D64302">
      <w:pPr>
        <w:ind w:left="720"/>
      </w:pPr>
    </w:p>
    <w:p w14:paraId="7AC23FE9" w14:textId="77777777" w:rsidR="00D64302" w:rsidRPr="00134942" w:rsidRDefault="00D64302" w:rsidP="00D64302">
      <w:pPr>
        <w:pStyle w:val="Heading2"/>
        <w:numPr>
          <w:ilvl w:val="0"/>
          <w:numId w:val="0"/>
        </w:numPr>
        <w:ind w:left="720" w:hanging="720"/>
      </w:pPr>
      <w:r w:rsidRPr="00134942">
        <w:t>4.</w:t>
      </w:r>
      <w:r w:rsidR="00513060" w:rsidRPr="00134942">
        <w:t>9</w:t>
      </w:r>
      <w:r w:rsidRPr="00134942">
        <w:tab/>
        <w:t xml:space="preserve">As part of the standby system between Mondays </w:t>
      </w:r>
      <w:r w:rsidR="00134942" w:rsidRPr="00134942">
        <w:t>and</w:t>
      </w:r>
      <w:r w:rsidRPr="00134942">
        <w:t xml:space="preserve"> Saturdays, regular early morning reporting at 0400 hours will operate (with the facility to call the crews out as early as 0500 hours for priority routes if conditions dictate).  During periods of anticipated relatively mild weather an operational decision may be taken daily to temporarily suspend this, though road temperatures will still be monitored.</w:t>
      </w:r>
    </w:p>
    <w:p w14:paraId="64327155" w14:textId="4F80AEF6" w:rsidR="00CF7C51" w:rsidRDefault="00513060" w:rsidP="007840A1">
      <w:r>
        <w:t>4.10</w:t>
      </w:r>
      <w:r>
        <w:tab/>
        <w:t xml:space="preserve">Sundays and public holidays reporting of standby personnel will only be carried out if </w:t>
      </w:r>
      <w:r>
        <w:tab/>
        <w:t>required</w:t>
      </w:r>
    </w:p>
    <w:p w14:paraId="16C4F022" w14:textId="77777777" w:rsidR="007840A1" w:rsidRDefault="007840A1" w:rsidP="007840A1"/>
    <w:p w14:paraId="7E32C069" w14:textId="77777777" w:rsidR="00D64302" w:rsidRPr="00682E55" w:rsidRDefault="00D64302" w:rsidP="00CF7C51">
      <w:pPr>
        <w:pStyle w:val="Heading2"/>
        <w:keepNext/>
        <w:numPr>
          <w:ilvl w:val="0"/>
          <w:numId w:val="0"/>
        </w:numPr>
        <w:ind w:firstLine="720"/>
      </w:pPr>
      <w:r>
        <w:rPr>
          <w:u w:val="single"/>
        </w:rPr>
        <w:t>Secondary</w:t>
      </w:r>
      <w:r w:rsidRPr="00682E55">
        <w:rPr>
          <w:u w:val="single"/>
        </w:rPr>
        <w:t xml:space="preserve"> </w:t>
      </w:r>
      <w:r>
        <w:rPr>
          <w:u w:val="single"/>
        </w:rPr>
        <w:t xml:space="preserve">and </w:t>
      </w:r>
      <w:proofErr w:type="spellStart"/>
      <w:r>
        <w:rPr>
          <w:u w:val="single"/>
        </w:rPr>
        <w:t>Cul</w:t>
      </w:r>
      <w:proofErr w:type="spellEnd"/>
      <w:r>
        <w:rPr>
          <w:u w:val="single"/>
        </w:rPr>
        <w:t xml:space="preserve"> de sac </w:t>
      </w:r>
      <w:r w:rsidRPr="00682E55">
        <w:rPr>
          <w:u w:val="single"/>
        </w:rPr>
        <w:t>Routes</w:t>
      </w:r>
      <w:r>
        <w:rPr>
          <w:u w:val="single"/>
        </w:rPr>
        <w:t xml:space="preserve"> </w:t>
      </w:r>
    </w:p>
    <w:p w14:paraId="7C0C89FB" w14:textId="77777777" w:rsidR="00D64302" w:rsidRPr="00682E55" w:rsidRDefault="00D64302" w:rsidP="00D64302">
      <w:pPr>
        <w:pStyle w:val="Heading2"/>
        <w:numPr>
          <w:ilvl w:val="1"/>
          <w:numId w:val="27"/>
        </w:numPr>
      </w:pPr>
      <w:r>
        <w:t>A</w:t>
      </w:r>
      <w:r w:rsidRPr="00682E55">
        <w:t xml:space="preserve">ll resources will initially be concentrated on priority routes, and it is only when these priority routes have been adequately dealt with that resources will be deployed on </w:t>
      </w:r>
      <w:r>
        <w:t xml:space="preserve">secondary </w:t>
      </w:r>
      <w:r w:rsidRPr="00682E55">
        <w:t>routes</w:t>
      </w:r>
      <w:r>
        <w:t xml:space="preserve"> and then </w:t>
      </w:r>
      <w:proofErr w:type="spellStart"/>
      <w:r>
        <w:t>cul</w:t>
      </w:r>
      <w:proofErr w:type="spellEnd"/>
      <w:r>
        <w:t xml:space="preserve"> de sac routes</w:t>
      </w:r>
      <w:r w:rsidRPr="00682E55">
        <w:t>.</w:t>
      </w:r>
    </w:p>
    <w:p w14:paraId="08165C8C" w14:textId="77777777" w:rsidR="00091132" w:rsidRPr="00091132" w:rsidRDefault="00D64302" w:rsidP="00CF7C51">
      <w:pPr>
        <w:pStyle w:val="Heading2"/>
        <w:keepNext/>
        <w:numPr>
          <w:ilvl w:val="0"/>
          <w:numId w:val="0"/>
        </w:numPr>
        <w:ind w:left="720"/>
      </w:pPr>
      <w:r>
        <w:rPr>
          <w:u w:val="single"/>
        </w:rPr>
        <w:t>Adopted Footways</w:t>
      </w:r>
    </w:p>
    <w:p w14:paraId="5CE90BCC" w14:textId="77777777" w:rsidR="00D64302" w:rsidRPr="00134942" w:rsidRDefault="00D64302">
      <w:pPr>
        <w:pStyle w:val="Heading2"/>
        <w:numPr>
          <w:ilvl w:val="1"/>
          <w:numId w:val="27"/>
        </w:numPr>
      </w:pPr>
      <w:r>
        <w:t xml:space="preserve">In order that treatment of </w:t>
      </w:r>
      <w:r w:rsidR="00134942">
        <w:t>strategic</w:t>
      </w:r>
      <w:r>
        <w:t xml:space="preserve"> footways </w:t>
      </w:r>
      <w:r>
        <w:rPr>
          <w:rFonts w:cs="Arial"/>
        </w:rPr>
        <w:t xml:space="preserve">can be </w:t>
      </w:r>
      <w:r>
        <w:t>provided within an acceptable timescale, the number and length of priority routes must be held to a level commensurate with available resources.</w:t>
      </w:r>
    </w:p>
    <w:p w14:paraId="73768000" w14:textId="77777777" w:rsidR="00D64302" w:rsidRPr="00134942" w:rsidRDefault="00D64302">
      <w:pPr>
        <w:pStyle w:val="Heading2"/>
        <w:numPr>
          <w:ilvl w:val="1"/>
          <w:numId w:val="27"/>
        </w:numPr>
      </w:pPr>
      <w:r w:rsidRPr="00134942">
        <w:lastRenderedPageBreak/>
        <w:t>Adopted footways are also categorised into priority routes and secondary routes.  The priority routes are those which the footway snow ploughs deal with first, namely education establishments</w:t>
      </w:r>
      <w:r w:rsidR="00134942" w:rsidRPr="00134942">
        <w:t>,</w:t>
      </w:r>
      <w:r w:rsidRPr="00134942">
        <w:t xml:space="preserve"> shopping areas and main bus routes.  Once the priority routes have been treated to a reasonable standard, secondary routes will be dealt with next. </w:t>
      </w:r>
    </w:p>
    <w:p w14:paraId="2419799C" w14:textId="77777777" w:rsidR="00D64302" w:rsidRDefault="00D64302" w:rsidP="00D64302">
      <w:pPr>
        <w:pStyle w:val="Heading2"/>
        <w:keepNext/>
        <w:numPr>
          <w:ilvl w:val="0"/>
          <w:numId w:val="0"/>
        </w:numPr>
        <w:tabs>
          <w:tab w:val="num" w:pos="720"/>
        </w:tabs>
        <w:ind w:left="720"/>
      </w:pPr>
      <w:r>
        <w:rPr>
          <w:u w:val="single"/>
        </w:rPr>
        <w:t>Adopted Footways – Priority Routes</w:t>
      </w:r>
    </w:p>
    <w:p w14:paraId="005B2806" w14:textId="77777777" w:rsidR="00DA291E" w:rsidRDefault="00D64302">
      <w:pPr>
        <w:pStyle w:val="Heading2"/>
        <w:numPr>
          <w:ilvl w:val="1"/>
          <w:numId w:val="27"/>
        </w:numPr>
      </w:pPr>
      <w:r>
        <w:t xml:space="preserve">During snow or </w:t>
      </w:r>
      <w:r w:rsidR="00F568B1">
        <w:t>sever</w:t>
      </w:r>
      <w:r w:rsidR="006711F2">
        <w:t>e</w:t>
      </w:r>
      <w:r w:rsidR="00F568B1">
        <w:t xml:space="preserve"> </w:t>
      </w:r>
      <w:r>
        <w:t xml:space="preserve">ice conditions these routes will have coverage </w:t>
      </w:r>
      <w:r w:rsidR="0088791B">
        <w:t>as per Appendix A</w:t>
      </w:r>
      <w:r w:rsidR="00F568B1">
        <w:t xml:space="preserve"> </w:t>
      </w:r>
      <w:r w:rsidR="00134942">
        <w:t>of this policy.</w:t>
      </w:r>
    </w:p>
    <w:p w14:paraId="441B1332" w14:textId="77777777" w:rsidR="00D64302" w:rsidRPr="00682E55" w:rsidRDefault="00D64302" w:rsidP="00D64302">
      <w:pPr>
        <w:pStyle w:val="Heading2"/>
        <w:keepNext/>
        <w:numPr>
          <w:ilvl w:val="0"/>
          <w:numId w:val="0"/>
        </w:numPr>
        <w:ind w:left="720"/>
      </w:pPr>
      <w:r w:rsidRPr="00682E55">
        <w:rPr>
          <w:u w:val="single"/>
        </w:rPr>
        <w:t xml:space="preserve">Adopted Footways – </w:t>
      </w:r>
      <w:r>
        <w:rPr>
          <w:u w:val="single"/>
        </w:rPr>
        <w:t>Secondary</w:t>
      </w:r>
      <w:r w:rsidRPr="00682E55">
        <w:rPr>
          <w:u w:val="single"/>
        </w:rPr>
        <w:t xml:space="preserve"> Routes</w:t>
      </w:r>
    </w:p>
    <w:p w14:paraId="5DBC34AA" w14:textId="77777777" w:rsidR="000E5338" w:rsidRDefault="000E5338">
      <w:pPr>
        <w:pStyle w:val="Heading2"/>
        <w:numPr>
          <w:ilvl w:val="1"/>
          <w:numId w:val="27"/>
        </w:numPr>
      </w:pPr>
      <w:r>
        <w:t xml:space="preserve">These footways will have similar coverage to priority routes and will be treated after the priority routes have been adequately dealt with. </w:t>
      </w:r>
    </w:p>
    <w:p w14:paraId="183D3B45" w14:textId="77777777" w:rsidR="008C2EB0" w:rsidRPr="00682E55" w:rsidRDefault="008C2EB0" w:rsidP="008C2EB0">
      <w:pPr>
        <w:pStyle w:val="Heading2"/>
        <w:keepNext/>
        <w:numPr>
          <w:ilvl w:val="0"/>
          <w:numId w:val="0"/>
        </w:numPr>
        <w:ind w:left="720"/>
      </w:pPr>
      <w:r>
        <w:rPr>
          <w:u w:val="single"/>
        </w:rPr>
        <w:t>Cycle Route Treatment</w:t>
      </w:r>
      <w:r w:rsidRPr="00682E55">
        <w:rPr>
          <w:u w:val="single"/>
        </w:rPr>
        <w:t xml:space="preserve"> </w:t>
      </w:r>
    </w:p>
    <w:p w14:paraId="001793EC" w14:textId="77777777" w:rsidR="000E5338" w:rsidRPr="00134942" w:rsidRDefault="00EA6A82">
      <w:pPr>
        <w:pStyle w:val="Heading2"/>
        <w:numPr>
          <w:ilvl w:val="1"/>
          <w:numId w:val="27"/>
        </w:numPr>
      </w:pPr>
      <w:r w:rsidRPr="00134942">
        <w:t>M</w:t>
      </w:r>
      <w:r w:rsidR="000E5338" w:rsidRPr="00134942">
        <w:t xml:space="preserve">any of the cycle routes across Dundee are covered within the current carriageway and footway treatment routes, the exception to this are those which are remote from an adopted carriageway or footway. </w:t>
      </w:r>
      <w:r w:rsidR="00134942" w:rsidRPr="00134942">
        <w:t>Remote cycleways where alternate treated route provision is available via the carriageway network are included in the secondary network priority.</w:t>
      </w:r>
    </w:p>
    <w:p w14:paraId="23926DA6" w14:textId="77777777" w:rsidR="00D64302" w:rsidRDefault="00D64302" w:rsidP="008C2EB0">
      <w:pPr>
        <w:pStyle w:val="Heading2"/>
        <w:keepNext/>
        <w:numPr>
          <w:ilvl w:val="0"/>
          <w:numId w:val="0"/>
        </w:numPr>
        <w:ind w:left="720"/>
        <w:rPr>
          <w:u w:val="single"/>
        </w:rPr>
      </w:pPr>
      <w:r>
        <w:rPr>
          <w:u w:val="single"/>
        </w:rPr>
        <w:t>Grit Bins (Adopted Roads/Footways)</w:t>
      </w:r>
    </w:p>
    <w:p w14:paraId="43853387" w14:textId="77777777" w:rsidR="000E5338" w:rsidRDefault="000E5338">
      <w:pPr>
        <w:pStyle w:val="Heading2"/>
        <w:numPr>
          <w:ilvl w:val="1"/>
          <w:numId w:val="27"/>
        </w:numPr>
      </w:pPr>
      <w:r>
        <w:t>It is the Council’s policy that new grit bins will be provided on request on adopted roads/footways, only at locations where the undernoted criteria are met, and that no further grit bins be provided where the carriageway or footway (as appropriate to</w:t>
      </w:r>
      <w:r w:rsidR="00CF7C51">
        <w:t xml:space="preserve"> the request) is not adopted.  </w:t>
      </w:r>
    </w:p>
    <w:p w14:paraId="68168853" w14:textId="77777777" w:rsidR="00D64302" w:rsidRPr="00134942" w:rsidRDefault="00D64302" w:rsidP="000E5338">
      <w:pPr>
        <w:pStyle w:val="Heading2"/>
      </w:pPr>
      <w:r w:rsidRPr="00134942">
        <w:t>The criteria referred to above are:</w:t>
      </w:r>
    </w:p>
    <w:p w14:paraId="4378C087" w14:textId="77777777" w:rsidR="00D64302" w:rsidRPr="00134942" w:rsidRDefault="00D64302" w:rsidP="00D64302">
      <w:pPr>
        <w:pStyle w:val="Heading2"/>
        <w:numPr>
          <w:ilvl w:val="0"/>
          <w:numId w:val="19"/>
        </w:numPr>
        <w:tabs>
          <w:tab w:val="clear" w:pos="360"/>
          <w:tab w:val="num" w:pos="1440"/>
        </w:tabs>
        <w:spacing w:after="0"/>
        <w:ind w:left="1440" w:hanging="720"/>
      </w:pPr>
      <w:r w:rsidRPr="00134942">
        <w:t xml:space="preserve">the location is not on a Priority footway gritting route,  </w:t>
      </w:r>
      <w:smartTag w:uri="urn:schemas-microsoft-com:office:smarttags" w:element="stockticker">
        <w:r w:rsidRPr="00134942">
          <w:rPr>
            <w:b/>
            <w:u w:val="single"/>
          </w:rPr>
          <w:t>AND</w:t>
        </w:r>
      </w:smartTag>
      <w:r w:rsidRPr="00134942">
        <w:t xml:space="preserve"> </w:t>
      </w:r>
    </w:p>
    <w:p w14:paraId="0A7ED5DC" w14:textId="77777777" w:rsidR="00D64302" w:rsidRPr="00134942" w:rsidRDefault="00D64302" w:rsidP="00D64302">
      <w:pPr>
        <w:pStyle w:val="Heading2"/>
        <w:numPr>
          <w:ilvl w:val="0"/>
          <w:numId w:val="19"/>
        </w:numPr>
        <w:tabs>
          <w:tab w:val="clear" w:pos="360"/>
          <w:tab w:val="num" w:pos="1440"/>
        </w:tabs>
        <w:spacing w:after="0"/>
        <w:ind w:left="1440" w:hanging="720"/>
      </w:pPr>
      <w:r w:rsidRPr="00134942">
        <w:t xml:space="preserve">the location has a gradient greater than 6%, </w:t>
      </w:r>
      <w:r w:rsidRPr="00134942">
        <w:rPr>
          <w:b/>
          <w:u w:val="single"/>
        </w:rPr>
        <w:t xml:space="preserve"> OR</w:t>
      </w:r>
      <w:r w:rsidRPr="00134942">
        <w:t xml:space="preserve"> </w:t>
      </w:r>
    </w:p>
    <w:p w14:paraId="3EDF1218" w14:textId="77777777" w:rsidR="00D64302" w:rsidRPr="00134942" w:rsidRDefault="00D64302" w:rsidP="00D64302">
      <w:pPr>
        <w:pStyle w:val="Heading2"/>
        <w:numPr>
          <w:ilvl w:val="0"/>
          <w:numId w:val="19"/>
        </w:numPr>
        <w:tabs>
          <w:tab w:val="clear" w:pos="360"/>
          <w:tab w:val="num" w:pos="1440"/>
        </w:tabs>
        <w:spacing w:after="0"/>
        <w:ind w:left="1440" w:hanging="720"/>
      </w:pPr>
      <w:r w:rsidRPr="00134942">
        <w:t xml:space="preserve">the location is on a tight bend (if request relates to carriageway) </w:t>
      </w:r>
      <w:r w:rsidRPr="00134942">
        <w:rPr>
          <w:b/>
          <w:u w:val="single"/>
        </w:rPr>
        <w:t>OR</w:t>
      </w:r>
      <w:r w:rsidRPr="00134942">
        <w:t xml:space="preserve"> </w:t>
      </w:r>
    </w:p>
    <w:p w14:paraId="0EC5ECE7" w14:textId="77777777" w:rsidR="00D64302" w:rsidRPr="00134942" w:rsidRDefault="00D64302" w:rsidP="00D64302">
      <w:pPr>
        <w:pStyle w:val="Heading2"/>
        <w:numPr>
          <w:ilvl w:val="0"/>
          <w:numId w:val="19"/>
        </w:numPr>
        <w:tabs>
          <w:tab w:val="clear" w:pos="360"/>
          <w:tab w:val="num" w:pos="1440"/>
        </w:tabs>
        <w:spacing w:after="0"/>
        <w:ind w:left="1440" w:hanging="720"/>
      </w:pPr>
      <w:r w:rsidRPr="00134942">
        <w:t xml:space="preserve">the location incorporates a series of steps (within the adopted road boundaries)  </w:t>
      </w:r>
      <w:r w:rsidRPr="00134942">
        <w:rPr>
          <w:b/>
          <w:u w:val="single"/>
        </w:rPr>
        <w:t>OR</w:t>
      </w:r>
      <w:r w:rsidRPr="00134942">
        <w:t xml:space="preserve"> </w:t>
      </w:r>
    </w:p>
    <w:p w14:paraId="5A1E06A6" w14:textId="77777777" w:rsidR="00D64302" w:rsidRPr="00134942" w:rsidRDefault="00D64302" w:rsidP="00D64302">
      <w:pPr>
        <w:pStyle w:val="Heading2"/>
        <w:numPr>
          <w:ilvl w:val="0"/>
          <w:numId w:val="19"/>
        </w:numPr>
        <w:tabs>
          <w:tab w:val="clear" w:pos="360"/>
          <w:tab w:val="num" w:pos="1440"/>
        </w:tabs>
        <w:spacing w:after="0"/>
        <w:ind w:left="1440" w:hanging="720"/>
      </w:pPr>
      <w:r w:rsidRPr="00134942">
        <w:t>the location is within a sheltered housing area and is the main link road to local shops or public transport.</w:t>
      </w:r>
    </w:p>
    <w:p w14:paraId="4CF1F901" w14:textId="77777777" w:rsidR="00D64302" w:rsidRPr="00134942" w:rsidRDefault="00D64302" w:rsidP="00D64302"/>
    <w:p w14:paraId="79EA6803" w14:textId="77777777" w:rsidR="00D64302" w:rsidRPr="00134942" w:rsidRDefault="00D64302" w:rsidP="00D64302">
      <w:pPr>
        <w:pStyle w:val="Heading2"/>
        <w:numPr>
          <w:ilvl w:val="1"/>
          <w:numId w:val="28"/>
        </w:numPr>
      </w:pPr>
      <w:r w:rsidRPr="00134942">
        <w:t>In new housing developments grit bins are to be provided by the Developer through Road Construction Consents to the agreed specification at appropriate locations.</w:t>
      </w:r>
      <w:r w:rsidR="00134942" w:rsidRPr="00134942">
        <w:t xml:space="preserve"> Following adoption of housing development roads, grit bins may be removed if the road is added to the Councils winter routes</w:t>
      </w:r>
    </w:p>
    <w:p w14:paraId="30A53453" w14:textId="77777777" w:rsidR="00D64302" w:rsidRDefault="00D64302" w:rsidP="00D64302">
      <w:pPr>
        <w:pStyle w:val="Heading2"/>
        <w:numPr>
          <w:ilvl w:val="1"/>
          <w:numId w:val="28"/>
        </w:numPr>
      </w:pPr>
      <w:r>
        <w:t>Grit bins are replenished prior to the onset of winter and periodically as required throughout the course of the winter season. Grit bins are filled with a 1:6 mixture of salt and sand/grit.</w:t>
      </w:r>
    </w:p>
    <w:p w14:paraId="4CD52A18" w14:textId="77777777" w:rsidR="00D64302" w:rsidRDefault="00D64302" w:rsidP="00661E5E">
      <w:pPr>
        <w:pStyle w:val="Heading2"/>
        <w:numPr>
          <w:ilvl w:val="1"/>
          <w:numId w:val="28"/>
        </w:numPr>
      </w:pPr>
      <w:r>
        <w:t>As identified in the level of readiness, additional resources will be deployed during severe winter conditions to ensure that grit bins remain replenished</w:t>
      </w:r>
      <w:r w:rsidR="00134942">
        <w:t>.</w:t>
      </w:r>
    </w:p>
    <w:p w14:paraId="28BCC1AC" w14:textId="77777777" w:rsidR="00D64302" w:rsidRPr="00682E55" w:rsidRDefault="00D64302" w:rsidP="00FA1C6A">
      <w:pPr>
        <w:pStyle w:val="Heading2"/>
        <w:keepNext/>
        <w:numPr>
          <w:ilvl w:val="0"/>
          <w:numId w:val="0"/>
        </w:numPr>
        <w:ind w:left="720"/>
      </w:pPr>
      <w:r w:rsidRPr="00682E55">
        <w:rPr>
          <w:u w:val="single"/>
        </w:rPr>
        <w:t>Exceptions</w:t>
      </w:r>
    </w:p>
    <w:p w14:paraId="6C5EACFD" w14:textId="48085365" w:rsidR="00D64302" w:rsidRDefault="00D64302" w:rsidP="00CF7C51">
      <w:pPr>
        <w:pStyle w:val="Heading2"/>
      </w:pPr>
      <w:r w:rsidRPr="00682E55">
        <w:t xml:space="preserve">Exceptions to </w:t>
      </w:r>
      <w:r>
        <w:t>paragraphs 4.1- 4.</w:t>
      </w:r>
      <w:r w:rsidR="00661E5E">
        <w:t>22</w:t>
      </w:r>
      <w:r w:rsidRPr="00682E55">
        <w:t xml:space="preserve"> may be granted for </w:t>
      </w:r>
      <w:r w:rsidRPr="0033571A">
        <w:t>snow or severe ice</w:t>
      </w:r>
      <w:r w:rsidRPr="00682E55">
        <w:t xml:space="preserve"> emergencies but will be subject to approval from the Director</w:t>
      </w:r>
      <w:r>
        <w:t xml:space="preserve"> of City Development</w:t>
      </w:r>
      <w:r w:rsidRPr="00682E55">
        <w:t xml:space="preserve"> or the </w:t>
      </w:r>
      <w:r w:rsidR="00E80C6E">
        <w:t xml:space="preserve">Head of </w:t>
      </w:r>
      <w:r w:rsidR="00766E86">
        <w:t>Sustainable</w:t>
      </w:r>
      <w:r w:rsidR="005F24AD">
        <w:t xml:space="preserve"> Transportation &amp; Roads Infrastructure</w:t>
      </w:r>
      <w:r w:rsidRPr="00682E55">
        <w:t>.</w:t>
      </w:r>
      <w:r>
        <w:t xml:space="preserve"> </w:t>
      </w:r>
      <w:r w:rsidR="008F6A2E">
        <w:fldChar w:fldCharType="begin"/>
      </w:r>
      <w:r>
        <w:instrText xml:space="preserve">  </w:instrText>
      </w:r>
      <w:r w:rsidR="008F6A2E">
        <w:fldChar w:fldCharType="end"/>
      </w:r>
    </w:p>
    <w:p w14:paraId="071F4705" w14:textId="77777777" w:rsidR="00D64302" w:rsidRDefault="00D64302" w:rsidP="00D64302">
      <w:pPr>
        <w:pStyle w:val="Footer"/>
        <w:tabs>
          <w:tab w:val="clear" w:pos="4153"/>
          <w:tab w:val="clear" w:pos="8306"/>
          <w:tab w:val="right" w:pos="3330"/>
          <w:tab w:val="right" w:pos="9000"/>
        </w:tabs>
      </w:pPr>
    </w:p>
    <w:p w14:paraId="55F44DE0" w14:textId="77777777" w:rsidR="008C2EB0" w:rsidRDefault="008C2EB0" w:rsidP="00661E5E">
      <w:pPr>
        <w:tabs>
          <w:tab w:val="right" w:pos="9000"/>
        </w:tabs>
        <w:rPr>
          <w:rFonts w:cs="Arial"/>
        </w:rPr>
      </w:pPr>
    </w:p>
    <w:p w14:paraId="185C7A05" w14:textId="77777777" w:rsidR="00E55D37" w:rsidRDefault="00E55D37" w:rsidP="00661E5E">
      <w:pPr>
        <w:tabs>
          <w:tab w:val="right" w:pos="9000"/>
        </w:tabs>
        <w:rPr>
          <w:rFonts w:cs="Arial"/>
        </w:rPr>
      </w:pPr>
    </w:p>
    <w:p w14:paraId="0004E7CA" w14:textId="77777777" w:rsidR="00E55D37" w:rsidRDefault="00E55D37" w:rsidP="00661E5E">
      <w:pPr>
        <w:tabs>
          <w:tab w:val="right" w:pos="9000"/>
        </w:tabs>
        <w:rPr>
          <w:rFonts w:cs="Arial"/>
        </w:rPr>
      </w:pPr>
    </w:p>
    <w:p w14:paraId="573CF16B" w14:textId="77777777" w:rsidR="00E55D37" w:rsidRDefault="00E55D37" w:rsidP="00661E5E">
      <w:pPr>
        <w:tabs>
          <w:tab w:val="right" w:pos="9000"/>
        </w:tabs>
        <w:rPr>
          <w:rFonts w:cs="Arial"/>
        </w:rPr>
      </w:pPr>
    </w:p>
    <w:p w14:paraId="58068930" w14:textId="77777777" w:rsidR="00E55D37" w:rsidRDefault="00E55D37" w:rsidP="00661E5E">
      <w:pPr>
        <w:tabs>
          <w:tab w:val="right" w:pos="9000"/>
        </w:tabs>
        <w:rPr>
          <w:rFonts w:cs="Arial"/>
        </w:rPr>
      </w:pPr>
    </w:p>
    <w:p w14:paraId="0DC9CCAF" w14:textId="77777777" w:rsidR="00E55D37" w:rsidRDefault="00E55D37" w:rsidP="00661E5E">
      <w:pPr>
        <w:tabs>
          <w:tab w:val="right" w:pos="9000"/>
        </w:tabs>
        <w:rPr>
          <w:rFonts w:cs="Arial"/>
        </w:rPr>
      </w:pPr>
    </w:p>
    <w:p w14:paraId="11BE0BAD" w14:textId="77777777" w:rsidR="00E55D37" w:rsidRDefault="00E55D37" w:rsidP="00661E5E">
      <w:pPr>
        <w:tabs>
          <w:tab w:val="right" w:pos="9000"/>
        </w:tabs>
        <w:rPr>
          <w:rFonts w:cs="Arial"/>
        </w:rPr>
      </w:pPr>
    </w:p>
    <w:p w14:paraId="42D2A4DE" w14:textId="77777777" w:rsidR="00E55D37" w:rsidRDefault="00E55D37" w:rsidP="00661E5E">
      <w:pPr>
        <w:tabs>
          <w:tab w:val="right" w:pos="9000"/>
        </w:tabs>
        <w:rPr>
          <w:rFonts w:cs="Arial"/>
        </w:rPr>
      </w:pPr>
    </w:p>
    <w:p w14:paraId="260BBB42" w14:textId="77777777" w:rsidR="00E55D37" w:rsidRDefault="00E55D37" w:rsidP="00661E5E">
      <w:pPr>
        <w:tabs>
          <w:tab w:val="right" w:pos="9000"/>
        </w:tabs>
        <w:rPr>
          <w:rFonts w:cs="Arial"/>
        </w:rPr>
      </w:pPr>
    </w:p>
    <w:p w14:paraId="2B1B87F4" w14:textId="77777777" w:rsidR="00E55D37" w:rsidRDefault="00E55D37" w:rsidP="00661E5E">
      <w:pPr>
        <w:tabs>
          <w:tab w:val="right" w:pos="9000"/>
        </w:tabs>
        <w:rPr>
          <w:rFonts w:cs="Arial"/>
        </w:rPr>
      </w:pPr>
    </w:p>
    <w:p w14:paraId="5A3B5F3A" w14:textId="77777777" w:rsidR="00E55D37" w:rsidRDefault="00E55D37" w:rsidP="00661E5E">
      <w:pPr>
        <w:tabs>
          <w:tab w:val="right" w:pos="9000"/>
        </w:tabs>
        <w:rPr>
          <w:rFonts w:cs="Arial"/>
        </w:rPr>
      </w:pPr>
    </w:p>
    <w:p w14:paraId="32C107C4" w14:textId="77777777" w:rsidR="00E55D37" w:rsidRDefault="00E55D37" w:rsidP="00661E5E">
      <w:pPr>
        <w:tabs>
          <w:tab w:val="right" w:pos="9000"/>
        </w:tabs>
        <w:rPr>
          <w:rFonts w:cs="Arial"/>
        </w:rPr>
      </w:pPr>
    </w:p>
    <w:p w14:paraId="3253BFEC" w14:textId="77777777" w:rsidR="00E55D37" w:rsidRDefault="00E55D37" w:rsidP="00661E5E">
      <w:pPr>
        <w:tabs>
          <w:tab w:val="right" w:pos="9000"/>
        </w:tabs>
        <w:rPr>
          <w:rFonts w:cs="Arial"/>
        </w:rPr>
      </w:pPr>
    </w:p>
    <w:p w14:paraId="51F692C8" w14:textId="77777777" w:rsidR="00E55D37" w:rsidRDefault="00E55D37" w:rsidP="00661E5E">
      <w:pPr>
        <w:tabs>
          <w:tab w:val="right" w:pos="9000"/>
        </w:tabs>
        <w:rPr>
          <w:rFonts w:cs="Arial"/>
        </w:rPr>
      </w:pPr>
    </w:p>
    <w:p w14:paraId="7B69D885" w14:textId="77777777" w:rsidR="00E55D37" w:rsidRDefault="00E55D37" w:rsidP="00661E5E">
      <w:pPr>
        <w:tabs>
          <w:tab w:val="right" w:pos="9000"/>
        </w:tabs>
        <w:rPr>
          <w:rFonts w:cs="Arial"/>
        </w:rPr>
      </w:pPr>
    </w:p>
    <w:p w14:paraId="26A46CAA" w14:textId="77777777" w:rsidR="00E55D37" w:rsidRDefault="00E55D37" w:rsidP="00661E5E">
      <w:pPr>
        <w:tabs>
          <w:tab w:val="right" w:pos="9000"/>
        </w:tabs>
        <w:rPr>
          <w:rFonts w:cs="Arial"/>
        </w:rPr>
      </w:pPr>
    </w:p>
    <w:p w14:paraId="0CE98376" w14:textId="77777777" w:rsidR="00E55D37" w:rsidRDefault="00E55D37" w:rsidP="00661E5E">
      <w:pPr>
        <w:tabs>
          <w:tab w:val="right" w:pos="9000"/>
        </w:tabs>
        <w:rPr>
          <w:rFonts w:cs="Arial"/>
        </w:rPr>
      </w:pPr>
    </w:p>
    <w:p w14:paraId="75650734" w14:textId="77777777" w:rsidR="00E55D37" w:rsidRDefault="00E55D37" w:rsidP="00E55D37">
      <w:pPr>
        <w:jc w:val="center"/>
        <w:rPr>
          <w:b/>
          <w:sz w:val="32"/>
          <w:szCs w:val="32"/>
        </w:rPr>
      </w:pPr>
      <w:r>
        <w:rPr>
          <w:b/>
          <w:sz w:val="32"/>
          <w:szCs w:val="32"/>
        </w:rPr>
        <w:t>APPENDIX A</w:t>
      </w:r>
    </w:p>
    <w:p w14:paraId="3FD23EB7" w14:textId="77777777" w:rsidR="00E55D37" w:rsidRDefault="00E55D37" w:rsidP="00E55D37">
      <w:pPr>
        <w:jc w:val="center"/>
        <w:rPr>
          <w:b/>
          <w:sz w:val="32"/>
          <w:szCs w:val="32"/>
        </w:rPr>
      </w:pPr>
    </w:p>
    <w:p w14:paraId="7FBCD0D0" w14:textId="77777777" w:rsidR="00E55D37" w:rsidRDefault="00134942" w:rsidP="00E55D37">
      <w:pPr>
        <w:jc w:val="center"/>
        <w:rPr>
          <w:b/>
          <w:sz w:val="32"/>
          <w:szCs w:val="32"/>
        </w:rPr>
      </w:pPr>
      <w:r>
        <w:rPr>
          <w:b/>
          <w:sz w:val="32"/>
          <w:szCs w:val="32"/>
        </w:rPr>
        <w:t>WINTER SPECIFICATION</w:t>
      </w:r>
    </w:p>
    <w:p w14:paraId="09A3AFB4" w14:textId="77777777" w:rsidR="00E55D37" w:rsidRDefault="00E55D37">
      <w:pPr>
        <w:jc w:val="left"/>
        <w:rPr>
          <w:sz w:val="20"/>
        </w:rPr>
      </w:pPr>
      <w:r>
        <w:rPr>
          <w:sz w:val="20"/>
        </w:rPr>
        <w:br w:type="page"/>
      </w:r>
    </w:p>
    <w:p w14:paraId="679854D8" w14:textId="77777777" w:rsidR="00E55D37" w:rsidRDefault="00E55D37" w:rsidP="00E55D37">
      <w:pPr>
        <w:rPr>
          <w:sz w:val="20"/>
        </w:rPr>
        <w:sectPr w:rsidR="00E55D37" w:rsidSect="00E55D37">
          <w:headerReference w:type="default" r:id="rId9"/>
          <w:footerReference w:type="default" r:id="rId10"/>
          <w:pgSz w:w="11907" w:h="16840" w:code="9"/>
          <w:pgMar w:top="1134" w:right="907" w:bottom="907" w:left="1418" w:header="340" w:footer="170" w:gutter="0"/>
          <w:cols w:space="708"/>
          <w:docGrid w:linePitch="360"/>
        </w:sectPr>
      </w:pPr>
    </w:p>
    <w:p w14:paraId="59FBD51C" w14:textId="77777777" w:rsidR="00E55D37" w:rsidRDefault="00E55D37" w:rsidP="00E55D37"/>
    <w:tbl>
      <w:tblPr>
        <w:tblStyle w:val="TableGrid"/>
        <w:tblW w:w="14732" w:type="dxa"/>
        <w:tblLook w:val="04A0" w:firstRow="1" w:lastRow="0" w:firstColumn="1" w:lastColumn="0" w:noHBand="0" w:noVBand="1"/>
      </w:tblPr>
      <w:tblGrid>
        <w:gridCol w:w="817"/>
        <w:gridCol w:w="7513"/>
        <w:gridCol w:w="6402"/>
      </w:tblGrid>
      <w:tr w:rsidR="00CF4D04" w:rsidRPr="00CF4D04" w14:paraId="0AF34B69" w14:textId="77777777" w:rsidTr="00EE588B">
        <w:trPr>
          <w:trHeight w:val="255"/>
        </w:trPr>
        <w:tc>
          <w:tcPr>
            <w:tcW w:w="14732" w:type="dxa"/>
            <w:gridSpan w:val="3"/>
            <w:shd w:val="clear" w:color="auto" w:fill="auto"/>
          </w:tcPr>
          <w:p w14:paraId="6FFE5442" w14:textId="1CACC6D4" w:rsidR="00CF4D04" w:rsidRPr="00CF4D04" w:rsidRDefault="00CF4D04" w:rsidP="00E55D37">
            <w:pPr>
              <w:rPr>
                <w:rFonts w:cs="Arial"/>
                <w:szCs w:val="22"/>
              </w:rPr>
            </w:pPr>
            <w:r w:rsidRPr="00CF4D04">
              <w:rPr>
                <w:rFonts w:cs="Arial"/>
                <w:b/>
                <w:szCs w:val="22"/>
              </w:rPr>
              <w:t>Fleet Details</w:t>
            </w:r>
          </w:p>
        </w:tc>
      </w:tr>
      <w:tr w:rsidR="00134942" w:rsidRPr="00CF4D04" w14:paraId="35A228BC" w14:textId="77777777" w:rsidTr="00CF4D04">
        <w:trPr>
          <w:trHeight w:val="1042"/>
        </w:trPr>
        <w:tc>
          <w:tcPr>
            <w:tcW w:w="817" w:type="dxa"/>
            <w:shd w:val="clear" w:color="auto" w:fill="auto"/>
            <w:vAlign w:val="center"/>
          </w:tcPr>
          <w:p w14:paraId="32A0B01F" w14:textId="77777777" w:rsidR="00134942" w:rsidRPr="00CF4D04" w:rsidRDefault="00134942" w:rsidP="00CF4D04">
            <w:pPr>
              <w:jc w:val="center"/>
              <w:rPr>
                <w:rFonts w:cs="Arial"/>
                <w:szCs w:val="22"/>
              </w:rPr>
            </w:pPr>
            <w:r w:rsidRPr="00CF4D04">
              <w:rPr>
                <w:rFonts w:cs="Arial"/>
                <w:szCs w:val="22"/>
              </w:rPr>
              <w:t>1</w:t>
            </w:r>
          </w:p>
        </w:tc>
        <w:tc>
          <w:tcPr>
            <w:tcW w:w="7513" w:type="dxa"/>
            <w:shd w:val="clear" w:color="auto" w:fill="auto"/>
            <w:vAlign w:val="center"/>
          </w:tcPr>
          <w:p w14:paraId="599158D9" w14:textId="77777777" w:rsidR="00134942" w:rsidRPr="00CF4D04" w:rsidRDefault="00134942" w:rsidP="00CA6BB4">
            <w:pPr>
              <w:jc w:val="left"/>
              <w:rPr>
                <w:rFonts w:cs="Arial"/>
                <w:szCs w:val="22"/>
              </w:rPr>
            </w:pPr>
            <w:r w:rsidRPr="00CF4D04">
              <w:rPr>
                <w:rFonts w:cs="Arial"/>
                <w:szCs w:val="22"/>
              </w:rPr>
              <w:t>Number of carriageway gritting vehicles</w:t>
            </w:r>
          </w:p>
        </w:tc>
        <w:tc>
          <w:tcPr>
            <w:tcW w:w="6402" w:type="dxa"/>
            <w:shd w:val="clear" w:color="auto" w:fill="auto"/>
            <w:vAlign w:val="center"/>
          </w:tcPr>
          <w:p w14:paraId="380A5087" w14:textId="77777777" w:rsidR="00134942" w:rsidRPr="00CF4D04" w:rsidRDefault="00134942" w:rsidP="00CA6BB4">
            <w:pPr>
              <w:jc w:val="left"/>
              <w:rPr>
                <w:rFonts w:cs="Arial"/>
                <w:szCs w:val="22"/>
              </w:rPr>
            </w:pPr>
            <w:r w:rsidRPr="00CF4D04">
              <w:rPr>
                <w:rFonts w:cs="Arial"/>
                <w:szCs w:val="22"/>
              </w:rPr>
              <w:t>13 No. 6m3 gritters</w:t>
            </w:r>
          </w:p>
          <w:p w14:paraId="2BB5AAE3" w14:textId="77777777" w:rsidR="00134942" w:rsidRPr="00CF4D04" w:rsidRDefault="00134942" w:rsidP="00CA6BB4">
            <w:pPr>
              <w:jc w:val="left"/>
              <w:rPr>
                <w:rFonts w:cs="Arial"/>
                <w:szCs w:val="22"/>
              </w:rPr>
            </w:pPr>
            <w:r w:rsidRPr="00CF4D04">
              <w:rPr>
                <w:rFonts w:cs="Arial"/>
                <w:szCs w:val="22"/>
              </w:rPr>
              <w:t>1 No. 1.2m3 gritter</w:t>
            </w:r>
          </w:p>
          <w:p w14:paraId="73699C68" w14:textId="7B9A39D6" w:rsidR="00134942" w:rsidRPr="00CF4D04" w:rsidRDefault="00A86082" w:rsidP="00CA6BB4">
            <w:pPr>
              <w:jc w:val="left"/>
              <w:rPr>
                <w:rFonts w:cs="Arial"/>
                <w:szCs w:val="22"/>
              </w:rPr>
            </w:pPr>
            <w:r>
              <w:rPr>
                <w:rFonts w:cs="Arial"/>
                <w:szCs w:val="22"/>
              </w:rPr>
              <w:t>2</w:t>
            </w:r>
            <w:r w:rsidR="00134942" w:rsidRPr="00CF4D04">
              <w:rPr>
                <w:rFonts w:cs="Arial"/>
                <w:szCs w:val="22"/>
              </w:rPr>
              <w:t xml:space="preserve"> No. 0.8m3 gritter</w:t>
            </w:r>
          </w:p>
        </w:tc>
      </w:tr>
      <w:tr w:rsidR="00134942" w:rsidRPr="00CF4D04" w14:paraId="5CB5AE7C" w14:textId="77777777" w:rsidTr="00CF4D04">
        <w:trPr>
          <w:trHeight w:val="255"/>
        </w:trPr>
        <w:tc>
          <w:tcPr>
            <w:tcW w:w="817" w:type="dxa"/>
            <w:shd w:val="clear" w:color="auto" w:fill="auto"/>
            <w:vAlign w:val="center"/>
          </w:tcPr>
          <w:p w14:paraId="29017DF4" w14:textId="77777777" w:rsidR="00134942" w:rsidRPr="00CF4D04" w:rsidRDefault="00CA6BB4" w:rsidP="00CF4D04">
            <w:pPr>
              <w:jc w:val="center"/>
              <w:rPr>
                <w:rFonts w:cs="Arial"/>
                <w:szCs w:val="22"/>
              </w:rPr>
            </w:pPr>
            <w:r w:rsidRPr="00CF4D04">
              <w:rPr>
                <w:rFonts w:cs="Arial"/>
                <w:szCs w:val="22"/>
              </w:rPr>
              <w:t>2</w:t>
            </w:r>
          </w:p>
        </w:tc>
        <w:tc>
          <w:tcPr>
            <w:tcW w:w="7513" w:type="dxa"/>
            <w:shd w:val="clear" w:color="auto" w:fill="auto"/>
            <w:vAlign w:val="center"/>
          </w:tcPr>
          <w:p w14:paraId="3949C252" w14:textId="77777777" w:rsidR="00134942" w:rsidRPr="00CF4D04" w:rsidRDefault="00134942" w:rsidP="00CA6BB4">
            <w:pPr>
              <w:jc w:val="left"/>
              <w:rPr>
                <w:rFonts w:cs="Arial"/>
                <w:szCs w:val="22"/>
              </w:rPr>
            </w:pPr>
            <w:r w:rsidRPr="00CF4D04">
              <w:rPr>
                <w:rFonts w:cs="Arial"/>
                <w:szCs w:val="22"/>
              </w:rPr>
              <w:t>Number of external carriageway support vehicles</w:t>
            </w:r>
          </w:p>
        </w:tc>
        <w:tc>
          <w:tcPr>
            <w:tcW w:w="6402" w:type="dxa"/>
            <w:shd w:val="clear" w:color="auto" w:fill="auto"/>
            <w:vAlign w:val="center"/>
          </w:tcPr>
          <w:p w14:paraId="5DB0A4F8" w14:textId="3C336DB3" w:rsidR="00134942" w:rsidRPr="00CF4D04" w:rsidRDefault="005F24AD" w:rsidP="00CA6BB4">
            <w:pPr>
              <w:jc w:val="left"/>
              <w:rPr>
                <w:rFonts w:cs="Arial"/>
                <w:szCs w:val="22"/>
              </w:rPr>
            </w:pPr>
            <w:r>
              <w:rPr>
                <w:rFonts w:cs="Arial"/>
                <w:szCs w:val="22"/>
              </w:rPr>
              <w:t>6</w:t>
            </w:r>
            <w:r w:rsidR="00134942" w:rsidRPr="00CF4D04">
              <w:rPr>
                <w:rFonts w:cs="Arial"/>
                <w:szCs w:val="22"/>
              </w:rPr>
              <w:t xml:space="preserve"> No. 0.8m3 Farmers tractors</w:t>
            </w:r>
          </w:p>
        </w:tc>
      </w:tr>
      <w:tr w:rsidR="00134942" w:rsidRPr="00CF4D04" w14:paraId="20BBCC1B" w14:textId="77777777" w:rsidTr="00CF4D04">
        <w:trPr>
          <w:trHeight w:val="510"/>
        </w:trPr>
        <w:tc>
          <w:tcPr>
            <w:tcW w:w="817" w:type="dxa"/>
            <w:shd w:val="clear" w:color="auto" w:fill="auto"/>
            <w:vAlign w:val="center"/>
          </w:tcPr>
          <w:p w14:paraId="40F3B692" w14:textId="77777777" w:rsidR="00134942" w:rsidRPr="00CF4D04" w:rsidRDefault="00CA6BB4" w:rsidP="00CF4D04">
            <w:pPr>
              <w:jc w:val="center"/>
              <w:rPr>
                <w:rFonts w:cs="Arial"/>
                <w:szCs w:val="22"/>
              </w:rPr>
            </w:pPr>
            <w:r w:rsidRPr="00CF4D04">
              <w:rPr>
                <w:rFonts w:cs="Arial"/>
                <w:szCs w:val="22"/>
              </w:rPr>
              <w:t>3</w:t>
            </w:r>
          </w:p>
        </w:tc>
        <w:tc>
          <w:tcPr>
            <w:tcW w:w="7513" w:type="dxa"/>
            <w:shd w:val="clear" w:color="auto" w:fill="auto"/>
            <w:vAlign w:val="center"/>
          </w:tcPr>
          <w:p w14:paraId="60AFCB9D" w14:textId="77777777" w:rsidR="00134942" w:rsidRPr="00CF4D04" w:rsidRDefault="00134942" w:rsidP="00CA6BB4">
            <w:pPr>
              <w:jc w:val="left"/>
              <w:rPr>
                <w:rFonts w:cs="Arial"/>
                <w:szCs w:val="22"/>
              </w:rPr>
            </w:pPr>
            <w:r w:rsidRPr="00CF4D04">
              <w:rPr>
                <w:rFonts w:cs="Arial"/>
                <w:szCs w:val="22"/>
              </w:rPr>
              <w:t>Number of footway gritting vehicles</w:t>
            </w:r>
          </w:p>
        </w:tc>
        <w:tc>
          <w:tcPr>
            <w:tcW w:w="6402" w:type="dxa"/>
            <w:shd w:val="clear" w:color="auto" w:fill="auto"/>
            <w:vAlign w:val="center"/>
          </w:tcPr>
          <w:p w14:paraId="5323384D" w14:textId="77777777" w:rsidR="00134942" w:rsidRPr="00CF4D04" w:rsidRDefault="00134942" w:rsidP="00CA6BB4">
            <w:pPr>
              <w:jc w:val="left"/>
              <w:rPr>
                <w:rFonts w:cs="Arial"/>
                <w:szCs w:val="22"/>
              </w:rPr>
            </w:pPr>
            <w:r w:rsidRPr="00CF4D04">
              <w:rPr>
                <w:rFonts w:cs="Arial"/>
                <w:szCs w:val="22"/>
              </w:rPr>
              <w:t>22 No. f/way mini tractors</w:t>
            </w:r>
          </w:p>
          <w:p w14:paraId="0933BBE4" w14:textId="6AF37E94" w:rsidR="00134942" w:rsidRPr="00CF4D04" w:rsidRDefault="005F24AD" w:rsidP="00CA6BB4">
            <w:pPr>
              <w:jc w:val="left"/>
              <w:rPr>
                <w:rFonts w:cs="Arial"/>
                <w:szCs w:val="22"/>
              </w:rPr>
            </w:pPr>
            <w:r>
              <w:rPr>
                <w:rFonts w:cs="Arial"/>
                <w:szCs w:val="22"/>
              </w:rPr>
              <w:t>10</w:t>
            </w:r>
            <w:r w:rsidR="00134942" w:rsidRPr="00CF4D04">
              <w:rPr>
                <w:rFonts w:cs="Arial"/>
                <w:szCs w:val="22"/>
              </w:rPr>
              <w:t xml:space="preserve"> No. pickups (re-supply)</w:t>
            </w:r>
          </w:p>
        </w:tc>
      </w:tr>
      <w:tr w:rsidR="00CF4D04" w:rsidRPr="00CF4D04" w14:paraId="1FF3D77A" w14:textId="77777777" w:rsidTr="004A6605">
        <w:trPr>
          <w:trHeight w:val="255"/>
        </w:trPr>
        <w:tc>
          <w:tcPr>
            <w:tcW w:w="14732" w:type="dxa"/>
            <w:gridSpan w:val="3"/>
            <w:shd w:val="clear" w:color="auto" w:fill="auto"/>
            <w:vAlign w:val="center"/>
          </w:tcPr>
          <w:p w14:paraId="5CC22AE1" w14:textId="2AF85DC9" w:rsidR="00CF4D04" w:rsidRPr="00CF4D04" w:rsidRDefault="00CF4D04" w:rsidP="00CA6BB4">
            <w:pPr>
              <w:jc w:val="left"/>
              <w:rPr>
                <w:rFonts w:cs="Arial"/>
                <w:szCs w:val="22"/>
              </w:rPr>
            </w:pPr>
            <w:r w:rsidRPr="00CF4D04">
              <w:rPr>
                <w:rFonts w:cs="Arial"/>
                <w:b/>
                <w:szCs w:val="22"/>
              </w:rPr>
              <w:t>Response Standards</w:t>
            </w:r>
          </w:p>
        </w:tc>
      </w:tr>
      <w:tr w:rsidR="00134942" w:rsidRPr="00CF4D04" w14:paraId="18D51C3C" w14:textId="77777777" w:rsidTr="00CF4D04">
        <w:trPr>
          <w:trHeight w:val="255"/>
        </w:trPr>
        <w:tc>
          <w:tcPr>
            <w:tcW w:w="817" w:type="dxa"/>
            <w:shd w:val="clear" w:color="auto" w:fill="auto"/>
            <w:vAlign w:val="center"/>
          </w:tcPr>
          <w:p w14:paraId="689E1FB6" w14:textId="77777777" w:rsidR="00134942" w:rsidRPr="00CF4D04" w:rsidRDefault="00CA6BB4" w:rsidP="00CF4D04">
            <w:pPr>
              <w:jc w:val="center"/>
              <w:rPr>
                <w:rFonts w:cs="Arial"/>
                <w:szCs w:val="22"/>
              </w:rPr>
            </w:pPr>
            <w:r w:rsidRPr="00CF4D04">
              <w:rPr>
                <w:rFonts w:cs="Arial"/>
                <w:szCs w:val="22"/>
              </w:rPr>
              <w:t>4</w:t>
            </w:r>
          </w:p>
        </w:tc>
        <w:tc>
          <w:tcPr>
            <w:tcW w:w="7513" w:type="dxa"/>
            <w:shd w:val="clear" w:color="auto" w:fill="auto"/>
            <w:vAlign w:val="center"/>
          </w:tcPr>
          <w:p w14:paraId="15337265" w14:textId="77777777" w:rsidR="00134942" w:rsidRPr="00CF4D04" w:rsidRDefault="00CA6BB4" w:rsidP="00CA6BB4">
            <w:pPr>
              <w:jc w:val="left"/>
              <w:rPr>
                <w:rFonts w:cs="Arial"/>
                <w:b/>
                <w:szCs w:val="22"/>
              </w:rPr>
            </w:pPr>
            <w:r w:rsidRPr="00CF4D04">
              <w:rPr>
                <w:rFonts w:cs="Arial"/>
                <w:szCs w:val="22"/>
              </w:rPr>
              <w:t>Response Time (time from decision instructed to treatment beginning)</w:t>
            </w:r>
          </w:p>
        </w:tc>
        <w:tc>
          <w:tcPr>
            <w:tcW w:w="6402" w:type="dxa"/>
            <w:shd w:val="clear" w:color="auto" w:fill="auto"/>
            <w:vAlign w:val="center"/>
          </w:tcPr>
          <w:p w14:paraId="71B84808" w14:textId="77777777" w:rsidR="00134942" w:rsidRPr="00CF4D04" w:rsidRDefault="00134942" w:rsidP="00CA6BB4">
            <w:pPr>
              <w:jc w:val="left"/>
              <w:rPr>
                <w:rFonts w:cs="Arial"/>
                <w:szCs w:val="22"/>
              </w:rPr>
            </w:pPr>
          </w:p>
          <w:p w14:paraId="45B055B7" w14:textId="77777777" w:rsidR="00CA6BB4" w:rsidRPr="00CF4D04" w:rsidRDefault="00CA6BB4" w:rsidP="00CA6BB4">
            <w:pPr>
              <w:jc w:val="left"/>
              <w:rPr>
                <w:rFonts w:cs="Arial"/>
                <w:szCs w:val="22"/>
              </w:rPr>
            </w:pPr>
            <w:r w:rsidRPr="00CF4D04">
              <w:rPr>
                <w:rFonts w:cs="Arial"/>
                <w:szCs w:val="22"/>
              </w:rPr>
              <w:t>1 Hour</w:t>
            </w:r>
          </w:p>
        </w:tc>
      </w:tr>
      <w:tr w:rsidR="00CA6BB4" w:rsidRPr="00CF4D04" w14:paraId="176EE409" w14:textId="77777777" w:rsidTr="00CF4D04">
        <w:trPr>
          <w:trHeight w:val="255"/>
        </w:trPr>
        <w:tc>
          <w:tcPr>
            <w:tcW w:w="817" w:type="dxa"/>
            <w:shd w:val="clear" w:color="auto" w:fill="auto"/>
            <w:vAlign w:val="center"/>
          </w:tcPr>
          <w:p w14:paraId="42A8D99A" w14:textId="77777777" w:rsidR="00CA6BB4" w:rsidRPr="00CF4D04" w:rsidRDefault="00CA6BB4" w:rsidP="00CF4D04">
            <w:pPr>
              <w:jc w:val="center"/>
              <w:rPr>
                <w:rFonts w:cs="Arial"/>
                <w:szCs w:val="22"/>
              </w:rPr>
            </w:pPr>
            <w:r w:rsidRPr="00CF4D04">
              <w:rPr>
                <w:rFonts w:cs="Arial"/>
                <w:szCs w:val="22"/>
              </w:rPr>
              <w:t>5</w:t>
            </w:r>
          </w:p>
        </w:tc>
        <w:tc>
          <w:tcPr>
            <w:tcW w:w="7513" w:type="dxa"/>
            <w:shd w:val="clear" w:color="auto" w:fill="auto"/>
            <w:vAlign w:val="center"/>
          </w:tcPr>
          <w:p w14:paraId="62B0BE70" w14:textId="77777777" w:rsidR="00CA6BB4" w:rsidRPr="00CF4D04" w:rsidRDefault="00CA6BB4" w:rsidP="00CA6BB4">
            <w:pPr>
              <w:jc w:val="left"/>
              <w:rPr>
                <w:rFonts w:cs="Arial"/>
                <w:b/>
                <w:szCs w:val="22"/>
              </w:rPr>
            </w:pPr>
            <w:r w:rsidRPr="00CF4D04">
              <w:rPr>
                <w:rFonts w:cs="Arial"/>
                <w:szCs w:val="22"/>
              </w:rPr>
              <w:t>Treatment Time (time from leaving depot / starting route to completion) excluding snow routes extensions</w:t>
            </w:r>
          </w:p>
        </w:tc>
        <w:tc>
          <w:tcPr>
            <w:tcW w:w="6402" w:type="dxa"/>
            <w:shd w:val="clear" w:color="auto" w:fill="auto"/>
            <w:vAlign w:val="center"/>
          </w:tcPr>
          <w:p w14:paraId="3186B232" w14:textId="77777777" w:rsidR="00CA6BB4" w:rsidRPr="00CF4D04" w:rsidRDefault="00CA6BB4" w:rsidP="00CA6BB4">
            <w:pPr>
              <w:jc w:val="left"/>
              <w:rPr>
                <w:rFonts w:cs="Arial"/>
                <w:szCs w:val="22"/>
              </w:rPr>
            </w:pPr>
            <w:r w:rsidRPr="00CF4D04">
              <w:rPr>
                <w:rFonts w:cs="Arial"/>
                <w:szCs w:val="22"/>
              </w:rPr>
              <w:t>3 Hours</w:t>
            </w:r>
          </w:p>
        </w:tc>
      </w:tr>
      <w:tr w:rsidR="00CF4D04" w:rsidRPr="00CF4D04" w14:paraId="23AE9437" w14:textId="77777777" w:rsidTr="00C1724B">
        <w:trPr>
          <w:trHeight w:val="255"/>
        </w:trPr>
        <w:tc>
          <w:tcPr>
            <w:tcW w:w="14732" w:type="dxa"/>
            <w:gridSpan w:val="3"/>
            <w:shd w:val="clear" w:color="auto" w:fill="auto"/>
            <w:vAlign w:val="center"/>
          </w:tcPr>
          <w:p w14:paraId="4CF96EEB" w14:textId="77777777" w:rsidR="00CF4D04" w:rsidRDefault="00CF4D04" w:rsidP="00CA6BB4">
            <w:pPr>
              <w:jc w:val="left"/>
              <w:rPr>
                <w:rFonts w:cs="Arial"/>
                <w:b/>
                <w:szCs w:val="22"/>
              </w:rPr>
            </w:pPr>
            <w:r w:rsidRPr="00CF4D04">
              <w:rPr>
                <w:rFonts w:cs="Arial"/>
                <w:b/>
                <w:szCs w:val="22"/>
              </w:rPr>
              <w:t>Winter Cover Periods</w:t>
            </w:r>
          </w:p>
          <w:p w14:paraId="600B1196" w14:textId="015CB4DC" w:rsidR="00430823" w:rsidRPr="00CF4D04" w:rsidRDefault="00430823" w:rsidP="00CA6BB4">
            <w:pPr>
              <w:jc w:val="left"/>
              <w:rPr>
                <w:rFonts w:cs="Arial"/>
                <w:szCs w:val="22"/>
              </w:rPr>
            </w:pPr>
          </w:p>
        </w:tc>
      </w:tr>
      <w:tr w:rsidR="00CA6BB4" w:rsidRPr="00CF4D04" w14:paraId="4B4BF8F3" w14:textId="77777777" w:rsidTr="00CF4D04">
        <w:trPr>
          <w:trHeight w:val="255"/>
        </w:trPr>
        <w:tc>
          <w:tcPr>
            <w:tcW w:w="817" w:type="dxa"/>
            <w:shd w:val="clear" w:color="auto" w:fill="auto"/>
            <w:vAlign w:val="center"/>
          </w:tcPr>
          <w:p w14:paraId="7B78CAF5" w14:textId="458429A0" w:rsidR="00CA6BB4" w:rsidRPr="00CF4D04" w:rsidRDefault="00CF4D04" w:rsidP="00CF4D04">
            <w:pPr>
              <w:jc w:val="center"/>
              <w:rPr>
                <w:rFonts w:cs="Arial"/>
                <w:szCs w:val="22"/>
              </w:rPr>
            </w:pPr>
            <w:r>
              <w:rPr>
                <w:rFonts w:cs="Arial"/>
                <w:szCs w:val="22"/>
              </w:rPr>
              <w:t>6</w:t>
            </w:r>
          </w:p>
        </w:tc>
        <w:tc>
          <w:tcPr>
            <w:tcW w:w="7513" w:type="dxa"/>
            <w:shd w:val="clear" w:color="auto" w:fill="auto"/>
          </w:tcPr>
          <w:p w14:paraId="640F160F" w14:textId="77777777" w:rsidR="00CA6BB4" w:rsidRPr="00CF4D04" w:rsidRDefault="00CA6BB4" w:rsidP="0080564F">
            <w:pPr>
              <w:rPr>
                <w:rFonts w:cs="Arial"/>
                <w:szCs w:val="22"/>
              </w:rPr>
            </w:pPr>
            <w:r w:rsidRPr="00CF4D04">
              <w:rPr>
                <w:rFonts w:cs="Arial"/>
                <w:szCs w:val="22"/>
              </w:rPr>
              <w:t>Priority Carriageway Cover – Lead in period</w:t>
            </w:r>
          </w:p>
        </w:tc>
        <w:tc>
          <w:tcPr>
            <w:tcW w:w="6402" w:type="dxa"/>
            <w:shd w:val="clear" w:color="auto" w:fill="auto"/>
            <w:vAlign w:val="center"/>
          </w:tcPr>
          <w:p w14:paraId="31CE1D6F" w14:textId="13860BFA" w:rsidR="00CA6BB4" w:rsidRPr="00CF4D04" w:rsidRDefault="00CA6BB4" w:rsidP="00186AE1">
            <w:pPr>
              <w:jc w:val="left"/>
              <w:rPr>
                <w:rFonts w:cs="Arial"/>
                <w:szCs w:val="22"/>
              </w:rPr>
            </w:pPr>
            <w:r w:rsidRPr="00CF4D04">
              <w:rPr>
                <w:rFonts w:cs="Arial"/>
                <w:szCs w:val="22"/>
              </w:rPr>
              <w:t>1 week</w:t>
            </w:r>
            <w:r w:rsidR="00A73FF0">
              <w:rPr>
                <w:rFonts w:cs="Arial"/>
                <w:szCs w:val="22"/>
              </w:rPr>
              <w:t xml:space="preserve"> </w:t>
            </w:r>
          </w:p>
        </w:tc>
      </w:tr>
      <w:tr w:rsidR="00CA6BB4" w:rsidRPr="00CF4D04" w14:paraId="214F4AD8" w14:textId="77777777" w:rsidTr="00CF4D04">
        <w:trPr>
          <w:trHeight w:val="255"/>
        </w:trPr>
        <w:tc>
          <w:tcPr>
            <w:tcW w:w="817" w:type="dxa"/>
            <w:shd w:val="clear" w:color="auto" w:fill="auto"/>
            <w:vAlign w:val="center"/>
          </w:tcPr>
          <w:p w14:paraId="3C9A6303" w14:textId="2AFC63C7" w:rsidR="00CA6BB4" w:rsidRPr="00CF4D04" w:rsidRDefault="00CF4D04" w:rsidP="00CF4D04">
            <w:pPr>
              <w:jc w:val="center"/>
              <w:rPr>
                <w:rFonts w:cs="Arial"/>
                <w:szCs w:val="22"/>
              </w:rPr>
            </w:pPr>
            <w:r>
              <w:rPr>
                <w:rFonts w:cs="Arial"/>
                <w:szCs w:val="22"/>
              </w:rPr>
              <w:t>7</w:t>
            </w:r>
          </w:p>
        </w:tc>
        <w:tc>
          <w:tcPr>
            <w:tcW w:w="7513" w:type="dxa"/>
            <w:shd w:val="clear" w:color="auto" w:fill="auto"/>
          </w:tcPr>
          <w:p w14:paraId="09D530AD" w14:textId="77777777" w:rsidR="00CA6BB4" w:rsidRPr="00CF4D04" w:rsidRDefault="00CA6BB4" w:rsidP="0080564F">
            <w:pPr>
              <w:rPr>
                <w:rFonts w:cs="Arial"/>
                <w:szCs w:val="22"/>
              </w:rPr>
            </w:pPr>
            <w:r w:rsidRPr="00CF4D04">
              <w:rPr>
                <w:rFonts w:cs="Arial"/>
                <w:szCs w:val="22"/>
              </w:rPr>
              <w:t>Priority Carriageway Cover – Core period</w:t>
            </w:r>
          </w:p>
        </w:tc>
        <w:tc>
          <w:tcPr>
            <w:tcW w:w="6402" w:type="dxa"/>
            <w:shd w:val="clear" w:color="auto" w:fill="auto"/>
            <w:vAlign w:val="center"/>
          </w:tcPr>
          <w:p w14:paraId="52B9145E" w14:textId="6943C5C7" w:rsidR="00CA6BB4" w:rsidRPr="00CF4D04" w:rsidRDefault="00CA6BB4" w:rsidP="00186AE1">
            <w:pPr>
              <w:jc w:val="left"/>
              <w:rPr>
                <w:rFonts w:cs="Arial"/>
                <w:szCs w:val="22"/>
              </w:rPr>
            </w:pPr>
            <w:r w:rsidRPr="00CF4D04">
              <w:rPr>
                <w:rFonts w:cs="Arial"/>
                <w:szCs w:val="22"/>
              </w:rPr>
              <w:t>23 weeks</w:t>
            </w:r>
            <w:r w:rsidR="005006E2">
              <w:rPr>
                <w:rFonts w:cs="Arial"/>
                <w:szCs w:val="22"/>
              </w:rPr>
              <w:t xml:space="preserve"> </w:t>
            </w:r>
          </w:p>
        </w:tc>
      </w:tr>
      <w:tr w:rsidR="00CA6BB4" w:rsidRPr="00CF4D04" w14:paraId="4BAEE289" w14:textId="77777777" w:rsidTr="00CF4D04">
        <w:trPr>
          <w:trHeight w:val="255"/>
        </w:trPr>
        <w:tc>
          <w:tcPr>
            <w:tcW w:w="817" w:type="dxa"/>
            <w:shd w:val="clear" w:color="auto" w:fill="auto"/>
            <w:vAlign w:val="center"/>
          </w:tcPr>
          <w:p w14:paraId="79F6FB22" w14:textId="3EE87D38" w:rsidR="00CA6BB4" w:rsidRPr="00CF4D04" w:rsidRDefault="00CF4D04" w:rsidP="00CF4D04">
            <w:pPr>
              <w:jc w:val="center"/>
              <w:rPr>
                <w:rFonts w:cs="Arial"/>
                <w:szCs w:val="22"/>
              </w:rPr>
            </w:pPr>
            <w:r>
              <w:rPr>
                <w:rFonts w:cs="Arial"/>
                <w:szCs w:val="22"/>
              </w:rPr>
              <w:t>8</w:t>
            </w:r>
          </w:p>
        </w:tc>
        <w:tc>
          <w:tcPr>
            <w:tcW w:w="7513" w:type="dxa"/>
            <w:shd w:val="clear" w:color="auto" w:fill="auto"/>
          </w:tcPr>
          <w:p w14:paraId="130D502C" w14:textId="77777777" w:rsidR="00CA6BB4" w:rsidRPr="00CF4D04" w:rsidRDefault="00CA6BB4" w:rsidP="0080564F">
            <w:pPr>
              <w:rPr>
                <w:rFonts w:cs="Arial"/>
                <w:szCs w:val="22"/>
              </w:rPr>
            </w:pPr>
            <w:r w:rsidRPr="00CF4D04">
              <w:rPr>
                <w:rFonts w:cs="Arial"/>
                <w:szCs w:val="22"/>
              </w:rPr>
              <w:t>Priority Carriageway Cover – Lead out period</w:t>
            </w:r>
          </w:p>
        </w:tc>
        <w:tc>
          <w:tcPr>
            <w:tcW w:w="6402" w:type="dxa"/>
            <w:shd w:val="clear" w:color="auto" w:fill="auto"/>
            <w:vAlign w:val="center"/>
          </w:tcPr>
          <w:p w14:paraId="00C9758A" w14:textId="4F4B4F1A" w:rsidR="00CA6BB4" w:rsidRPr="00CF4D04" w:rsidRDefault="00CA6BB4" w:rsidP="00186AE1">
            <w:pPr>
              <w:jc w:val="left"/>
              <w:rPr>
                <w:rFonts w:cs="Arial"/>
                <w:szCs w:val="22"/>
              </w:rPr>
            </w:pPr>
            <w:r w:rsidRPr="00CF4D04">
              <w:rPr>
                <w:rFonts w:cs="Arial"/>
                <w:szCs w:val="22"/>
              </w:rPr>
              <w:t>1 week</w:t>
            </w:r>
            <w:r w:rsidR="005006E2">
              <w:rPr>
                <w:rFonts w:cs="Arial"/>
                <w:szCs w:val="22"/>
              </w:rPr>
              <w:t xml:space="preserve"> </w:t>
            </w:r>
          </w:p>
        </w:tc>
      </w:tr>
      <w:tr w:rsidR="00CA6BB4" w:rsidRPr="00CF4D04" w14:paraId="6A3C85F5" w14:textId="77777777" w:rsidTr="00CF4D04">
        <w:trPr>
          <w:trHeight w:val="255"/>
        </w:trPr>
        <w:tc>
          <w:tcPr>
            <w:tcW w:w="817" w:type="dxa"/>
            <w:shd w:val="clear" w:color="auto" w:fill="auto"/>
            <w:vAlign w:val="center"/>
          </w:tcPr>
          <w:p w14:paraId="0F356C7A" w14:textId="0810C52B" w:rsidR="00CA6BB4" w:rsidRPr="00CF4D04" w:rsidRDefault="00CF4D04" w:rsidP="00CF4D04">
            <w:pPr>
              <w:jc w:val="center"/>
              <w:rPr>
                <w:rFonts w:cs="Arial"/>
                <w:szCs w:val="22"/>
              </w:rPr>
            </w:pPr>
            <w:r>
              <w:rPr>
                <w:rFonts w:cs="Arial"/>
                <w:szCs w:val="22"/>
              </w:rPr>
              <w:t>9</w:t>
            </w:r>
          </w:p>
        </w:tc>
        <w:tc>
          <w:tcPr>
            <w:tcW w:w="7513" w:type="dxa"/>
            <w:shd w:val="clear" w:color="auto" w:fill="auto"/>
          </w:tcPr>
          <w:p w14:paraId="0F8F46EF" w14:textId="77777777" w:rsidR="00CA6BB4" w:rsidRPr="00CF4D04" w:rsidRDefault="00CA6BB4" w:rsidP="0080564F">
            <w:pPr>
              <w:rPr>
                <w:rFonts w:cs="Arial"/>
                <w:szCs w:val="22"/>
              </w:rPr>
            </w:pPr>
            <w:r w:rsidRPr="00CF4D04">
              <w:rPr>
                <w:rFonts w:cs="Arial"/>
                <w:szCs w:val="22"/>
              </w:rPr>
              <w:t>Secondary &amp; Tertiary Carriageway Cover – Lead in period</w:t>
            </w:r>
          </w:p>
        </w:tc>
        <w:tc>
          <w:tcPr>
            <w:tcW w:w="6402" w:type="dxa"/>
            <w:shd w:val="clear" w:color="auto" w:fill="auto"/>
            <w:vAlign w:val="center"/>
          </w:tcPr>
          <w:p w14:paraId="06A104A9" w14:textId="77777777" w:rsidR="00CA6BB4" w:rsidRPr="00CF4D04" w:rsidRDefault="00CA6BB4" w:rsidP="00CA6BB4">
            <w:pPr>
              <w:jc w:val="left"/>
              <w:rPr>
                <w:rFonts w:cs="Arial"/>
                <w:szCs w:val="22"/>
              </w:rPr>
            </w:pPr>
            <w:r w:rsidRPr="00CF4D04">
              <w:rPr>
                <w:rFonts w:cs="Arial"/>
                <w:szCs w:val="22"/>
              </w:rPr>
              <w:t>0 weeks</w:t>
            </w:r>
          </w:p>
        </w:tc>
      </w:tr>
      <w:tr w:rsidR="00CA6BB4" w:rsidRPr="00CF4D04" w14:paraId="3980DA5E" w14:textId="77777777" w:rsidTr="00CF4D04">
        <w:trPr>
          <w:trHeight w:val="255"/>
        </w:trPr>
        <w:tc>
          <w:tcPr>
            <w:tcW w:w="817" w:type="dxa"/>
            <w:shd w:val="clear" w:color="auto" w:fill="auto"/>
            <w:vAlign w:val="center"/>
          </w:tcPr>
          <w:p w14:paraId="2EEBFB8B" w14:textId="7AA5C8AC" w:rsidR="00CA6BB4" w:rsidRPr="00CF4D04" w:rsidRDefault="00CA6BB4" w:rsidP="00CF4D04">
            <w:pPr>
              <w:jc w:val="center"/>
              <w:rPr>
                <w:rFonts w:cs="Arial"/>
                <w:szCs w:val="22"/>
              </w:rPr>
            </w:pPr>
            <w:r w:rsidRPr="00CF4D04">
              <w:rPr>
                <w:rFonts w:cs="Arial"/>
                <w:szCs w:val="22"/>
              </w:rPr>
              <w:t>1</w:t>
            </w:r>
            <w:r w:rsidR="00CF4D04">
              <w:rPr>
                <w:rFonts w:cs="Arial"/>
                <w:szCs w:val="22"/>
              </w:rPr>
              <w:t>0</w:t>
            </w:r>
          </w:p>
        </w:tc>
        <w:tc>
          <w:tcPr>
            <w:tcW w:w="7513" w:type="dxa"/>
            <w:shd w:val="clear" w:color="auto" w:fill="auto"/>
          </w:tcPr>
          <w:p w14:paraId="2E1DE0C9" w14:textId="77777777" w:rsidR="00CA6BB4" w:rsidRPr="00CF4D04" w:rsidRDefault="00CA6BB4" w:rsidP="0080564F">
            <w:pPr>
              <w:rPr>
                <w:rFonts w:cs="Arial"/>
                <w:szCs w:val="22"/>
              </w:rPr>
            </w:pPr>
            <w:r w:rsidRPr="00CF4D04">
              <w:rPr>
                <w:rFonts w:cs="Arial"/>
                <w:szCs w:val="22"/>
              </w:rPr>
              <w:t>Secondary &amp; Tertiary Carriageway Cover – Core period</w:t>
            </w:r>
          </w:p>
        </w:tc>
        <w:tc>
          <w:tcPr>
            <w:tcW w:w="6402" w:type="dxa"/>
            <w:shd w:val="clear" w:color="auto" w:fill="auto"/>
            <w:vAlign w:val="center"/>
          </w:tcPr>
          <w:p w14:paraId="4B4537F7" w14:textId="1DE90F02" w:rsidR="00CA6BB4" w:rsidRPr="00CF4D04" w:rsidRDefault="00CA6BB4" w:rsidP="00186AE1">
            <w:pPr>
              <w:jc w:val="left"/>
              <w:rPr>
                <w:rFonts w:cs="Arial"/>
                <w:szCs w:val="22"/>
              </w:rPr>
            </w:pPr>
            <w:r w:rsidRPr="00CF4D04">
              <w:rPr>
                <w:rFonts w:cs="Arial"/>
                <w:szCs w:val="22"/>
              </w:rPr>
              <w:t>23 weeks</w:t>
            </w:r>
          </w:p>
        </w:tc>
      </w:tr>
      <w:tr w:rsidR="00CA6BB4" w:rsidRPr="00CF4D04" w14:paraId="13FC0CC1" w14:textId="77777777" w:rsidTr="00CF4D04">
        <w:trPr>
          <w:trHeight w:val="255"/>
        </w:trPr>
        <w:tc>
          <w:tcPr>
            <w:tcW w:w="817" w:type="dxa"/>
            <w:shd w:val="clear" w:color="auto" w:fill="auto"/>
            <w:vAlign w:val="center"/>
          </w:tcPr>
          <w:p w14:paraId="1F46279C" w14:textId="221A0B9F" w:rsidR="00CA6BB4" w:rsidRPr="00CF4D04" w:rsidRDefault="00CA6BB4" w:rsidP="00CF4D04">
            <w:pPr>
              <w:jc w:val="center"/>
              <w:rPr>
                <w:rFonts w:cs="Arial"/>
                <w:szCs w:val="22"/>
              </w:rPr>
            </w:pPr>
            <w:r w:rsidRPr="00CF4D04">
              <w:rPr>
                <w:rFonts w:cs="Arial"/>
                <w:szCs w:val="22"/>
              </w:rPr>
              <w:t>1</w:t>
            </w:r>
            <w:r w:rsidR="00CF4D04">
              <w:rPr>
                <w:rFonts w:cs="Arial"/>
                <w:szCs w:val="22"/>
              </w:rPr>
              <w:t>1</w:t>
            </w:r>
          </w:p>
        </w:tc>
        <w:tc>
          <w:tcPr>
            <w:tcW w:w="7513" w:type="dxa"/>
            <w:shd w:val="clear" w:color="auto" w:fill="auto"/>
          </w:tcPr>
          <w:p w14:paraId="616A4EE1" w14:textId="77777777" w:rsidR="00CA6BB4" w:rsidRPr="00CF4D04" w:rsidRDefault="00CA6BB4" w:rsidP="0080564F">
            <w:pPr>
              <w:rPr>
                <w:rFonts w:cs="Arial"/>
                <w:szCs w:val="22"/>
              </w:rPr>
            </w:pPr>
            <w:r w:rsidRPr="00CF4D04">
              <w:rPr>
                <w:rFonts w:cs="Arial"/>
                <w:szCs w:val="22"/>
              </w:rPr>
              <w:t>Secondary &amp; Tertiary Carriageway Cover – Lead out period</w:t>
            </w:r>
          </w:p>
        </w:tc>
        <w:tc>
          <w:tcPr>
            <w:tcW w:w="6402" w:type="dxa"/>
            <w:shd w:val="clear" w:color="auto" w:fill="auto"/>
            <w:vAlign w:val="center"/>
          </w:tcPr>
          <w:p w14:paraId="46610B51" w14:textId="77777777" w:rsidR="00CA6BB4" w:rsidRPr="00CF4D04" w:rsidRDefault="00CA6BB4" w:rsidP="00CA6BB4">
            <w:pPr>
              <w:jc w:val="left"/>
              <w:rPr>
                <w:rFonts w:cs="Arial"/>
                <w:szCs w:val="22"/>
              </w:rPr>
            </w:pPr>
            <w:r w:rsidRPr="00CF4D04">
              <w:rPr>
                <w:rFonts w:cs="Arial"/>
                <w:szCs w:val="22"/>
              </w:rPr>
              <w:t>0 weeks</w:t>
            </w:r>
          </w:p>
        </w:tc>
      </w:tr>
      <w:tr w:rsidR="00CA6BB4" w:rsidRPr="00CF4D04" w14:paraId="1045B365" w14:textId="77777777" w:rsidTr="00CF4D04">
        <w:trPr>
          <w:trHeight w:val="255"/>
        </w:trPr>
        <w:tc>
          <w:tcPr>
            <w:tcW w:w="817" w:type="dxa"/>
            <w:shd w:val="clear" w:color="auto" w:fill="auto"/>
            <w:vAlign w:val="center"/>
          </w:tcPr>
          <w:p w14:paraId="4781F1EC" w14:textId="1ACB2EC1" w:rsidR="00CA6BB4" w:rsidRPr="00CF4D04" w:rsidRDefault="00CA6BB4" w:rsidP="00CF4D04">
            <w:pPr>
              <w:jc w:val="center"/>
              <w:rPr>
                <w:rFonts w:cs="Arial"/>
                <w:szCs w:val="22"/>
              </w:rPr>
            </w:pPr>
            <w:r w:rsidRPr="00CF4D04">
              <w:rPr>
                <w:rFonts w:cs="Arial"/>
                <w:szCs w:val="22"/>
              </w:rPr>
              <w:t>1</w:t>
            </w:r>
            <w:r w:rsidR="00CF4D04">
              <w:rPr>
                <w:rFonts w:cs="Arial"/>
                <w:szCs w:val="22"/>
              </w:rPr>
              <w:t>2</w:t>
            </w:r>
          </w:p>
        </w:tc>
        <w:tc>
          <w:tcPr>
            <w:tcW w:w="7513" w:type="dxa"/>
            <w:shd w:val="clear" w:color="auto" w:fill="auto"/>
          </w:tcPr>
          <w:p w14:paraId="5F2AD235" w14:textId="77777777" w:rsidR="00CA6BB4" w:rsidRPr="00CF4D04" w:rsidRDefault="00CA6BB4" w:rsidP="0080564F">
            <w:pPr>
              <w:rPr>
                <w:rFonts w:cs="Arial"/>
                <w:szCs w:val="22"/>
              </w:rPr>
            </w:pPr>
            <w:r w:rsidRPr="00CF4D04">
              <w:rPr>
                <w:rFonts w:cs="Arial"/>
                <w:szCs w:val="22"/>
              </w:rPr>
              <w:t>Nightshift Carriageway Cover</w:t>
            </w:r>
          </w:p>
        </w:tc>
        <w:tc>
          <w:tcPr>
            <w:tcW w:w="6402" w:type="dxa"/>
            <w:shd w:val="clear" w:color="auto" w:fill="auto"/>
            <w:vAlign w:val="center"/>
          </w:tcPr>
          <w:p w14:paraId="08CF358A" w14:textId="56FB4193" w:rsidR="00CA6BB4" w:rsidRPr="00CF4D04" w:rsidRDefault="00CA6BB4" w:rsidP="00186AE1">
            <w:pPr>
              <w:jc w:val="left"/>
              <w:rPr>
                <w:rFonts w:cs="Arial"/>
                <w:szCs w:val="22"/>
              </w:rPr>
            </w:pPr>
            <w:r w:rsidRPr="00CF4D04">
              <w:rPr>
                <w:rFonts w:cs="Arial"/>
                <w:szCs w:val="22"/>
              </w:rPr>
              <w:t>27 weeks</w:t>
            </w:r>
          </w:p>
        </w:tc>
      </w:tr>
      <w:tr w:rsidR="00CA6BB4" w:rsidRPr="00CF4D04" w14:paraId="7BD746B5" w14:textId="77777777" w:rsidTr="00CF4D04">
        <w:trPr>
          <w:trHeight w:val="255"/>
        </w:trPr>
        <w:tc>
          <w:tcPr>
            <w:tcW w:w="817" w:type="dxa"/>
            <w:shd w:val="clear" w:color="auto" w:fill="auto"/>
            <w:vAlign w:val="center"/>
          </w:tcPr>
          <w:p w14:paraId="5CFFEF60" w14:textId="061993D9" w:rsidR="00CA6BB4" w:rsidRPr="00CF4D04" w:rsidRDefault="00CA6BB4" w:rsidP="00CF4D04">
            <w:pPr>
              <w:jc w:val="center"/>
              <w:rPr>
                <w:rFonts w:cs="Arial"/>
                <w:szCs w:val="22"/>
              </w:rPr>
            </w:pPr>
            <w:r w:rsidRPr="00CF4D04">
              <w:rPr>
                <w:rFonts w:cs="Arial"/>
                <w:szCs w:val="22"/>
              </w:rPr>
              <w:t>1</w:t>
            </w:r>
            <w:r w:rsidR="00CF4D04">
              <w:rPr>
                <w:rFonts w:cs="Arial"/>
                <w:szCs w:val="22"/>
              </w:rPr>
              <w:t>3</w:t>
            </w:r>
          </w:p>
        </w:tc>
        <w:tc>
          <w:tcPr>
            <w:tcW w:w="7513" w:type="dxa"/>
            <w:shd w:val="clear" w:color="auto" w:fill="auto"/>
          </w:tcPr>
          <w:p w14:paraId="618F0CDD" w14:textId="77777777" w:rsidR="00CA6BB4" w:rsidRPr="00CF4D04" w:rsidRDefault="00CA6BB4" w:rsidP="0080564F">
            <w:pPr>
              <w:rPr>
                <w:rFonts w:cs="Arial"/>
                <w:szCs w:val="22"/>
              </w:rPr>
            </w:pPr>
            <w:r w:rsidRPr="00CF4D04">
              <w:rPr>
                <w:rFonts w:cs="Arial"/>
                <w:szCs w:val="22"/>
              </w:rPr>
              <w:t>Priority Footway Cover – Lead in period</w:t>
            </w:r>
          </w:p>
        </w:tc>
        <w:tc>
          <w:tcPr>
            <w:tcW w:w="6402" w:type="dxa"/>
            <w:shd w:val="clear" w:color="auto" w:fill="auto"/>
            <w:vAlign w:val="center"/>
          </w:tcPr>
          <w:p w14:paraId="47ED7611" w14:textId="77777777" w:rsidR="00CA6BB4" w:rsidRPr="00CF4D04" w:rsidRDefault="00CA6BB4" w:rsidP="00CA6BB4">
            <w:pPr>
              <w:jc w:val="left"/>
              <w:rPr>
                <w:rFonts w:cs="Arial"/>
                <w:szCs w:val="22"/>
              </w:rPr>
            </w:pPr>
            <w:r w:rsidRPr="00CF4D04">
              <w:rPr>
                <w:rFonts w:cs="Arial"/>
                <w:szCs w:val="22"/>
              </w:rPr>
              <w:t>0 weeks</w:t>
            </w:r>
          </w:p>
        </w:tc>
      </w:tr>
      <w:tr w:rsidR="00CA6BB4" w:rsidRPr="00CF4D04" w14:paraId="051B8F08" w14:textId="77777777" w:rsidTr="00CF4D04">
        <w:trPr>
          <w:trHeight w:val="255"/>
        </w:trPr>
        <w:tc>
          <w:tcPr>
            <w:tcW w:w="817" w:type="dxa"/>
            <w:shd w:val="clear" w:color="auto" w:fill="auto"/>
            <w:vAlign w:val="center"/>
          </w:tcPr>
          <w:p w14:paraId="0CC09A79" w14:textId="078E811A" w:rsidR="00CA6BB4" w:rsidRPr="00CF4D04" w:rsidRDefault="00CA6BB4" w:rsidP="00CF4D04">
            <w:pPr>
              <w:jc w:val="center"/>
              <w:rPr>
                <w:rFonts w:cs="Arial"/>
                <w:szCs w:val="22"/>
              </w:rPr>
            </w:pPr>
            <w:r w:rsidRPr="00CF4D04">
              <w:rPr>
                <w:rFonts w:cs="Arial"/>
                <w:szCs w:val="22"/>
              </w:rPr>
              <w:t>1</w:t>
            </w:r>
            <w:r w:rsidR="00CF4D04">
              <w:rPr>
                <w:rFonts w:cs="Arial"/>
                <w:szCs w:val="22"/>
              </w:rPr>
              <w:t>4</w:t>
            </w:r>
          </w:p>
        </w:tc>
        <w:tc>
          <w:tcPr>
            <w:tcW w:w="7513" w:type="dxa"/>
            <w:shd w:val="clear" w:color="auto" w:fill="auto"/>
          </w:tcPr>
          <w:p w14:paraId="53F2CC3A" w14:textId="77777777" w:rsidR="00CA6BB4" w:rsidRPr="00CF4D04" w:rsidRDefault="00CA6BB4" w:rsidP="0080564F">
            <w:pPr>
              <w:rPr>
                <w:rFonts w:cs="Arial"/>
                <w:szCs w:val="22"/>
              </w:rPr>
            </w:pPr>
            <w:r w:rsidRPr="00CF4D04">
              <w:rPr>
                <w:rFonts w:cs="Arial"/>
                <w:szCs w:val="22"/>
              </w:rPr>
              <w:t>Priority Footway Cover – Core period</w:t>
            </w:r>
          </w:p>
        </w:tc>
        <w:tc>
          <w:tcPr>
            <w:tcW w:w="6402" w:type="dxa"/>
            <w:shd w:val="clear" w:color="auto" w:fill="auto"/>
            <w:vAlign w:val="center"/>
          </w:tcPr>
          <w:p w14:paraId="2491B6B9" w14:textId="061CC6B1" w:rsidR="00430823" w:rsidRPr="00CF4D04" w:rsidRDefault="00CA6BB4" w:rsidP="00186AE1">
            <w:pPr>
              <w:jc w:val="left"/>
              <w:rPr>
                <w:rFonts w:cs="Arial"/>
                <w:szCs w:val="22"/>
              </w:rPr>
            </w:pPr>
            <w:r w:rsidRPr="00CF4D04">
              <w:rPr>
                <w:rFonts w:cs="Arial"/>
                <w:szCs w:val="22"/>
              </w:rPr>
              <w:t>19 weeks</w:t>
            </w:r>
          </w:p>
        </w:tc>
      </w:tr>
      <w:tr w:rsidR="00CA6BB4" w:rsidRPr="00CF4D04" w14:paraId="766DBBF8" w14:textId="77777777" w:rsidTr="00CF4D04">
        <w:trPr>
          <w:trHeight w:val="255"/>
        </w:trPr>
        <w:tc>
          <w:tcPr>
            <w:tcW w:w="817" w:type="dxa"/>
            <w:shd w:val="clear" w:color="auto" w:fill="auto"/>
            <w:vAlign w:val="center"/>
          </w:tcPr>
          <w:p w14:paraId="0D4AE5C0" w14:textId="4A1B6E14" w:rsidR="00CA6BB4" w:rsidRPr="00CF4D04" w:rsidRDefault="00CA6BB4" w:rsidP="00CF4D04">
            <w:pPr>
              <w:jc w:val="center"/>
              <w:rPr>
                <w:rFonts w:cs="Arial"/>
                <w:szCs w:val="22"/>
              </w:rPr>
            </w:pPr>
            <w:r w:rsidRPr="00CF4D04">
              <w:rPr>
                <w:rFonts w:cs="Arial"/>
                <w:szCs w:val="22"/>
              </w:rPr>
              <w:t>1</w:t>
            </w:r>
            <w:r w:rsidR="00CF4D04">
              <w:rPr>
                <w:rFonts w:cs="Arial"/>
                <w:szCs w:val="22"/>
              </w:rPr>
              <w:t>5</w:t>
            </w:r>
          </w:p>
        </w:tc>
        <w:tc>
          <w:tcPr>
            <w:tcW w:w="7513" w:type="dxa"/>
            <w:shd w:val="clear" w:color="auto" w:fill="auto"/>
          </w:tcPr>
          <w:p w14:paraId="0D5CA0F0" w14:textId="77777777" w:rsidR="00CA6BB4" w:rsidRPr="00CF4D04" w:rsidRDefault="00CA6BB4" w:rsidP="0080564F">
            <w:pPr>
              <w:rPr>
                <w:rFonts w:cs="Arial"/>
                <w:szCs w:val="22"/>
              </w:rPr>
            </w:pPr>
            <w:r w:rsidRPr="00CF4D04">
              <w:rPr>
                <w:rFonts w:cs="Arial"/>
                <w:szCs w:val="22"/>
              </w:rPr>
              <w:t>Priority Footway Cover – Lead out period</w:t>
            </w:r>
          </w:p>
        </w:tc>
        <w:tc>
          <w:tcPr>
            <w:tcW w:w="6402" w:type="dxa"/>
            <w:shd w:val="clear" w:color="auto" w:fill="auto"/>
            <w:vAlign w:val="center"/>
          </w:tcPr>
          <w:p w14:paraId="3596D4C8" w14:textId="77777777" w:rsidR="00CA6BB4" w:rsidRPr="00CF4D04" w:rsidRDefault="00CA6BB4" w:rsidP="00CA6BB4">
            <w:pPr>
              <w:jc w:val="left"/>
              <w:rPr>
                <w:rFonts w:cs="Arial"/>
                <w:szCs w:val="22"/>
              </w:rPr>
            </w:pPr>
            <w:r w:rsidRPr="00CF4D04">
              <w:rPr>
                <w:rFonts w:cs="Arial"/>
                <w:szCs w:val="22"/>
              </w:rPr>
              <w:t>0 weeks</w:t>
            </w:r>
          </w:p>
        </w:tc>
      </w:tr>
      <w:tr w:rsidR="00CA6BB4" w:rsidRPr="00CF4D04" w14:paraId="4E4694B4" w14:textId="77777777" w:rsidTr="00CF4D04">
        <w:trPr>
          <w:trHeight w:val="255"/>
        </w:trPr>
        <w:tc>
          <w:tcPr>
            <w:tcW w:w="817" w:type="dxa"/>
            <w:shd w:val="clear" w:color="auto" w:fill="auto"/>
            <w:vAlign w:val="center"/>
          </w:tcPr>
          <w:p w14:paraId="6AD10596" w14:textId="4C189853" w:rsidR="00CA6BB4" w:rsidRPr="00CF4D04" w:rsidRDefault="00CA6BB4" w:rsidP="00CF4D04">
            <w:pPr>
              <w:jc w:val="center"/>
              <w:rPr>
                <w:rFonts w:cs="Arial"/>
                <w:szCs w:val="22"/>
              </w:rPr>
            </w:pPr>
            <w:r w:rsidRPr="00CF4D04">
              <w:rPr>
                <w:rFonts w:cs="Arial"/>
                <w:szCs w:val="22"/>
              </w:rPr>
              <w:t>1</w:t>
            </w:r>
            <w:r w:rsidR="00CF4D04">
              <w:rPr>
                <w:rFonts w:cs="Arial"/>
                <w:szCs w:val="22"/>
              </w:rPr>
              <w:t>6</w:t>
            </w:r>
          </w:p>
        </w:tc>
        <w:tc>
          <w:tcPr>
            <w:tcW w:w="7513" w:type="dxa"/>
            <w:shd w:val="clear" w:color="auto" w:fill="auto"/>
          </w:tcPr>
          <w:p w14:paraId="6FD04C4B" w14:textId="77777777" w:rsidR="00CA6BB4" w:rsidRPr="00CF4D04" w:rsidRDefault="00CA6BB4" w:rsidP="0080564F">
            <w:pPr>
              <w:rPr>
                <w:rFonts w:cs="Arial"/>
                <w:szCs w:val="22"/>
              </w:rPr>
            </w:pPr>
            <w:r w:rsidRPr="00CF4D04">
              <w:rPr>
                <w:rFonts w:cs="Arial"/>
                <w:szCs w:val="22"/>
              </w:rPr>
              <w:t>Secondary &amp; Tertiary Footway Cover – Lead in period</w:t>
            </w:r>
          </w:p>
        </w:tc>
        <w:tc>
          <w:tcPr>
            <w:tcW w:w="6402" w:type="dxa"/>
            <w:shd w:val="clear" w:color="auto" w:fill="auto"/>
            <w:vAlign w:val="center"/>
          </w:tcPr>
          <w:p w14:paraId="250BBC61" w14:textId="77777777" w:rsidR="00CA6BB4" w:rsidRPr="00CF4D04" w:rsidRDefault="00CA6BB4" w:rsidP="00CA6BB4">
            <w:pPr>
              <w:jc w:val="left"/>
              <w:rPr>
                <w:rFonts w:cs="Arial"/>
                <w:szCs w:val="22"/>
              </w:rPr>
            </w:pPr>
            <w:r w:rsidRPr="00CF4D04">
              <w:rPr>
                <w:rFonts w:cs="Arial"/>
                <w:szCs w:val="22"/>
              </w:rPr>
              <w:t>0 weeks</w:t>
            </w:r>
          </w:p>
        </w:tc>
      </w:tr>
      <w:tr w:rsidR="00CA6BB4" w:rsidRPr="00CF4D04" w14:paraId="27D22824" w14:textId="77777777" w:rsidTr="00CF4D04">
        <w:trPr>
          <w:trHeight w:val="255"/>
        </w:trPr>
        <w:tc>
          <w:tcPr>
            <w:tcW w:w="817" w:type="dxa"/>
            <w:shd w:val="clear" w:color="auto" w:fill="auto"/>
            <w:vAlign w:val="center"/>
          </w:tcPr>
          <w:p w14:paraId="04C39177" w14:textId="026F6E15" w:rsidR="00CA6BB4" w:rsidRPr="00CF4D04" w:rsidRDefault="00CA6BB4" w:rsidP="00CF4D04">
            <w:pPr>
              <w:jc w:val="center"/>
              <w:rPr>
                <w:rFonts w:cs="Arial"/>
                <w:szCs w:val="22"/>
              </w:rPr>
            </w:pPr>
            <w:r w:rsidRPr="00CF4D04">
              <w:rPr>
                <w:rFonts w:cs="Arial"/>
                <w:szCs w:val="22"/>
              </w:rPr>
              <w:t>1</w:t>
            </w:r>
            <w:r w:rsidR="00CF4D04">
              <w:rPr>
                <w:rFonts w:cs="Arial"/>
                <w:szCs w:val="22"/>
              </w:rPr>
              <w:t>7</w:t>
            </w:r>
          </w:p>
        </w:tc>
        <w:tc>
          <w:tcPr>
            <w:tcW w:w="7513" w:type="dxa"/>
            <w:shd w:val="clear" w:color="auto" w:fill="auto"/>
          </w:tcPr>
          <w:p w14:paraId="5DB02E10" w14:textId="77777777" w:rsidR="00CA6BB4" w:rsidRPr="00CF4D04" w:rsidRDefault="00CA6BB4" w:rsidP="0080564F">
            <w:pPr>
              <w:rPr>
                <w:rFonts w:cs="Arial"/>
                <w:szCs w:val="22"/>
              </w:rPr>
            </w:pPr>
            <w:r w:rsidRPr="00CF4D04">
              <w:rPr>
                <w:rFonts w:cs="Arial"/>
                <w:szCs w:val="22"/>
              </w:rPr>
              <w:t>Secondary &amp; Tertiary Footway Cover – Core period</w:t>
            </w:r>
          </w:p>
        </w:tc>
        <w:tc>
          <w:tcPr>
            <w:tcW w:w="6402" w:type="dxa"/>
            <w:shd w:val="clear" w:color="auto" w:fill="auto"/>
            <w:vAlign w:val="center"/>
          </w:tcPr>
          <w:p w14:paraId="4AE3FF9E" w14:textId="06FB70B4" w:rsidR="00CA6BB4" w:rsidRPr="00CF4D04" w:rsidRDefault="00CA6BB4" w:rsidP="00186AE1">
            <w:pPr>
              <w:jc w:val="left"/>
              <w:rPr>
                <w:rFonts w:cs="Arial"/>
                <w:szCs w:val="22"/>
              </w:rPr>
            </w:pPr>
            <w:r w:rsidRPr="00CF4D04">
              <w:rPr>
                <w:rFonts w:cs="Arial"/>
                <w:szCs w:val="22"/>
              </w:rPr>
              <w:t>19 weeks</w:t>
            </w:r>
          </w:p>
        </w:tc>
      </w:tr>
      <w:tr w:rsidR="00CA6BB4" w:rsidRPr="00CF4D04" w14:paraId="166FC72B" w14:textId="77777777" w:rsidTr="00CF4D04">
        <w:trPr>
          <w:trHeight w:val="255"/>
        </w:trPr>
        <w:tc>
          <w:tcPr>
            <w:tcW w:w="817" w:type="dxa"/>
            <w:shd w:val="clear" w:color="auto" w:fill="auto"/>
            <w:vAlign w:val="center"/>
          </w:tcPr>
          <w:p w14:paraId="445ABB74" w14:textId="072F8DD8" w:rsidR="00CA6BB4" w:rsidRPr="00CF4D04" w:rsidRDefault="00CA6BB4" w:rsidP="00CF4D04">
            <w:pPr>
              <w:jc w:val="center"/>
              <w:rPr>
                <w:rFonts w:cs="Arial"/>
                <w:szCs w:val="22"/>
              </w:rPr>
            </w:pPr>
            <w:r w:rsidRPr="00CF4D04">
              <w:rPr>
                <w:rFonts w:cs="Arial"/>
                <w:szCs w:val="22"/>
              </w:rPr>
              <w:t>1</w:t>
            </w:r>
            <w:r w:rsidR="00CF4D04">
              <w:rPr>
                <w:rFonts w:cs="Arial"/>
                <w:szCs w:val="22"/>
              </w:rPr>
              <w:t>8</w:t>
            </w:r>
          </w:p>
        </w:tc>
        <w:tc>
          <w:tcPr>
            <w:tcW w:w="7513" w:type="dxa"/>
            <w:shd w:val="clear" w:color="auto" w:fill="auto"/>
          </w:tcPr>
          <w:p w14:paraId="67D62AD4" w14:textId="77777777" w:rsidR="00CA6BB4" w:rsidRPr="00CF4D04" w:rsidRDefault="00CA6BB4" w:rsidP="0080564F">
            <w:pPr>
              <w:rPr>
                <w:rFonts w:cs="Arial"/>
                <w:szCs w:val="22"/>
              </w:rPr>
            </w:pPr>
            <w:r w:rsidRPr="00CF4D04">
              <w:rPr>
                <w:rFonts w:cs="Arial"/>
                <w:szCs w:val="22"/>
              </w:rPr>
              <w:t>Secondary &amp; Tertiary Footway Cover – Lead out period</w:t>
            </w:r>
          </w:p>
        </w:tc>
        <w:tc>
          <w:tcPr>
            <w:tcW w:w="6402" w:type="dxa"/>
            <w:shd w:val="clear" w:color="auto" w:fill="auto"/>
            <w:vAlign w:val="center"/>
          </w:tcPr>
          <w:p w14:paraId="1E35F11E" w14:textId="77777777" w:rsidR="00CA6BB4" w:rsidRPr="00CF4D04" w:rsidRDefault="00CA6BB4" w:rsidP="00CA6BB4">
            <w:pPr>
              <w:jc w:val="left"/>
              <w:rPr>
                <w:rFonts w:cs="Arial"/>
                <w:szCs w:val="22"/>
              </w:rPr>
            </w:pPr>
            <w:r w:rsidRPr="00CF4D04">
              <w:rPr>
                <w:rFonts w:cs="Arial"/>
                <w:szCs w:val="22"/>
              </w:rPr>
              <w:t>0 weeks</w:t>
            </w:r>
          </w:p>
        </w:tc>
      </w:tr>
      <w:tr w:rsidR="00CF4D04" w:rsidRPr="00CF4D04" w14:paraId="09D3FB67" w14:textId="77777777" w:rsidTr="00F61A53">
        <w:trPr>
          <w:trHeight w:val="255"/>
        </w:trPr>
        <w:tc>
          <w:tcPr>
            <w:tcW w:w="14732" w:type="dxa"/>
            <w:gridSpan w:val="3"/>
            <w:shd w:val="clear" w:color="auto" w:fill="auto"/>
            <w:vAlign w:val="center"/>
          </w:tcPr>
          <w:p w14:paraId="6C90CB4B" w14:textId="23504870" w:rsidR="00CF4D04" w:rsidRPr="00CF4D04" w:rsidRDefault="00CF4D04" w:rsidP="00CA6BB4">
            <w:pPr>
              <w:jc w:val="left"/>
              <w:rPr>
                <w:rFonts w:cs="Arial"/>
                <w:szCs w:val="22"/>
              </w:rPr>
            </w:pPr>
            <w:r w:rsidRPr="00CF4D04">
              <w:rPr>
                <w:rFonts w:cs="Arial"/>
                <w:b/>
                <w:szCs w:val="22"/>
              </w:rPr>
              <w:t>Salt Resilience</w:t>
            </w:r>
          </w:p>
        </w:tc>
      </w:tr>
      <w:tr w:rsidR="00471AB1" w:rsidRPr="00CF4D04" w14:paraId="275836A0" w14:textId="77777777" w:rsidTr="00CF4D04">
        <w:trPr>
          <w:trHeight w:val="255"/>
        </w:trPr>
        <w:tc>
          <w:tcPr>
            <w:tcW w:w="817" w:type="dxa"/>
            <w:shd w:val="clear" w:color="auto" w:fill="auto"/>
            <w:vAlign w:val="center"/>
          </w:tcPr>
          <w:p w14:paraId="24605B56" w14:textId="57813172" w:rsidR="00471AB1" w:rsidRPr="00CF4D04" w:rsidRDefault="00CF4D04" w:rsidP="00CF4D04">
            <w:pPr>
              <w:jc w:val="center"/>
              <w:rPr>
                <w:rFonts w:cs="Arial"/>
                <w:szCs w:val="22"/>
              </w:rPr>
            </w:pPr>
            <w:r>
              <w:rPr>
                <w:rFonts w:cs="Arial"/>
                <w:szCs w:val="22"/>
              </w:rPr>
              <w:t>19</w:t>
            </w:r>
          </w:p>
        </w:tc>
        <w:tc>
          <w:tcPr>
            <w:tcW w:w="7513" w:type="dxa"/>
            <w:shd w:val="clear" w:color="auto" w:fill="auto"/>
            <w:vAlign w:val="center"/>
          </w:tcPr>
          <w:p w14:paraId="1F9CBF92" w14:textId="188EB0F4" w:rsidR="00471AB1" w:rsidRPr="00CF4D04" w:rsidRDefault="00471AB1" w:rsidP="00471AB1">
            <w:pPr>
              <w:jc w:val="left"/>
              <w:rPr>
                <w:rFonts w:cs="Arial"/>
                <w:szCs w:val="22"/>
              </w:rPr>
            </w:pPr>
            <w:r w:rsidRPr="00CF4D04">
              <w:rPr>
                <w:rFonts w:cs="Arial"/>
                <w:szCs w:val="22"/>
              </w:rPr>
              <w:t xml:space="preserve">Resilience – </w:t>
            </w:r>
            <w:r w:rsidR="00091508">
              <w:rPr>
                <w:rFonts w:cs="Arial"/>
                <w:szCs w:val="22"/>
              </w:rPr>
              <w:t>Fifteen</w:t>
            </w:r>
            <w:r w:rsidRPr="00CF4D04">
              <w:rPr>
                <w:rFonts w:cs="Arial"/>
                <w:szCs w:val="22"/>
              </w:rPr>
              <w:t xml:space="preserve"> day resilience duration salt stock holding</w:t>
            </w:r>
          </w:p>
        </w:tc>
        <w:tc>
          <w:tcPr>
            <w:tcW w:w="6402" w:type="dxa"/>
            <w:shd w:val="clear" w:color="auto" w:fill="auto"/>
            <w:vAlign w:val="center"/>
          </w:tcPr>
          <w:p w14:paraId="5B6E08E6" w14:textId="77777777" w:rsidR="00471AB1" w:rsidRPr="00CF4D04" w:rsidRDefault="00471AB1" w:rsidP="00471AB1">
            <w:pPr>
              <w:jc w:val="left"/>
              <w:rPr>
                <w:rFonts w:cs="Arial"/>
                <w:szCs w:val="22"/>
              </w:rPr>
            </w:pPr>
            <w:r w:rsidRPr="00CF4D04">
              <w:rPr>
                <w:rFonts w:cs="Arial"/>
                <w:szCs w:val="22"/>
              </w:rPr>
              <w:t>3900 tonnes</w:t>
            </w:r>
          </w:p>
        </w:tc>
      </w:tr>
      <w:tr w:rsidR="00471AB1" w:rsidRPr="00CF4D04" w14:paraId="2053AC81" w14:textId="77777777" w:rsidTr="00CF4D04">
        <w:trPr>
          <w:trHeight w:val="255"/>
        </w:trPr>
        <w:tc>
          <w:tcPr>
            <w:tcW w:w="817" w:type="dxa"/>
            <w:shd w:val="clear" w:color="auto" w:fill="auto"/>
            <w:vAlign w:val="center"/>
          </w:tcPr>
          <w:p w14:paraId="7E344E25" w14:textId="7927AF48" w:rsidR="00471AB1" w:rsidRPr="00CF4D04" w:rsidRDefault="00CF4D04" w:rsidP="00CF4D04">
            <w:pPr>
              <w:jc w:val="center"/>
              <w:rPr>
                <w:rFonts w:cs="Arial"/>
                <w:szCs w:val="22"/>
              </w:rPr>
            </w:pPr>
            <w:r>
              <w:rPr>
                <w:rFonts w:cs="Arial"/>
                <w:szCs w:val="22"/>
              </w:rPr>
              <w:t>20</w:t>
            </w:r>
          </w:p>
        </w:tc>
        <w:tc>
          <w:tcPr>
            <w:tcW w:w="7513" w:type="dxa"/>
            <w:shd w:val="clear" w:color="auto" w:fill="auto"/>
            <w:vAlign w:val="center"/>
          </w:tcPr>
          <w:p w14:paraId="37A6E039" w14:textId="77777777" w:rsidR="00471AB1" w:rsidRPr="00CF4D04" w:rsidRDefault="00471AB1" w:rsidP="00471AB1">
            <w:pPr>
              <w:jc w:val="left"/>
              <w:rPr>
                <w:rFonts w:cs="Arial"/>
                <w:szCs w:val="22"/>
              </w:rPr>
            </w:pPr>
            <w:r w:rsidRPr="00CF4D04">
              <w:rPr>
                <w:rFonts w:cs="Arial"/>
                <w:szCs w:val="22"/>
              </w:rPr>
              <w:t>Resilience – minimum salt stock level to be held</w:t>
            </w:r>
          </w:p>
        </w:tc>
        <w:tc>
          <w:tcPr>
            <w:tcW w:w="6402" w:type="dxa"/>
            <w:shd w:val="clear" w:color="auto" w:fill="auto"/>
            <w:vAlign w:val="center"/>
          </w:tcPr>
          <w:p w14:paraId="17F4AB13" w14:textId="77777777" w:rsidR="00471AB1" w:rsidRPr="00CF4D04" w:rsidRDefault="00471AB1" w:rsidP="00471AB1">
            <w:pPr>
              <w:jc w:val="left"/>
              <w:rPr>
                <w:rFonts w:cs="Arial"/>
                <w:szCs w:val="22"/>
              </w:rPr>
            </w:pPr>
            <w:r w:rsidRPr="00CF4D04">
              <w:rPr>
                <w:rFonts w:cs="Arial"/>
                <w:szCs w:val="22"/>
              </w:rPr>
              <w:t>2340 tonnes</w:t>
            </w:r>
          </w:p>
        </w:tc>
      </w:tr>
    </w:tbl>
    <w:p w14:paraId="68AAF1ED" w14:textId="697CAE77" w:rsidR="00E55D37" w:rsidRDefault="00E55D37" w:rsidP="009E40A2">
      <w:pPr>
        <w:tabs>
          <w:tab w:val="right" w:pos="9000"/>
        </w:tabs>
        <w:rPr>
          <w:rFonts w:cs="Arial"/>
          <w:szCs w:val="22"/>
        </w:rPr>
      </w:pPr>
    </w:p>
    <w:p w14:paraId="6F3DF33A" w14:textId="36A8FCC5" w:rsidR="00CF4D04" w:rsidRDefault="00CF4D04" w:rsidP="009E40A2">
      <w:pPr>
        <w:tabs>
          <w:tab w:val="right" w:pos="9000"/>
        </w:tabs>
        <w:rPr>
          <w:rFonts w:cs="Arial"/>
          <w:szCs w:val="22"/>
        </w:rPr>
      </w:pPr>
    </w:p>
    <w:p w14:paraId="0BF5DF6C" w14:textId="77777777" w:rsidR="00CF4D04" w:rsidRDefault="00CF4D04" w:rsidP="009E40A2">
      <w:pPr>
        <w:tabs>
          <w:tab w:val="right" w:pos="9000"/>
        </w:tabs>
        <w:rPr>
          <w:rFonts w:cs="Arial"/>
          <w:szCs w:val="22"/>
        </w:rPr>
      </w:pPr>
    </w:p>
    <w:tbl>
      <w:tblPr>
        <w:tblStyle w:val="TableGrid"/>
        <w:tblW w:w="0" w:type="auto"/>
        <w:tblLook w:val="04A0" w:firstRow="1" w:lastRow="0" w:firstColumn="1" w:lastColumn="0" w:noHBand="0" w:noVBand="1"/>
      </w:tblPr>
      <w:tblGrid>
        <w:gridCol w:w="810"/>
        <w:gridCol w:w="7395"/>
        <w:gridCol w:w="6321"/>
      </w:tblGrid>
      <w:tr w:rsidR="00CF4D04" w14:paraId="77544CF4" w14:textId="77777777" w:rsidTr="00E873C4">
        <w:tc>
          <w:tcPr>
            <w:tcW w:w="14752" w:type="dxa"/>
            <w:gridSpan w:val="3"/>
            <w:vAlign w:val="center"/>
          </w:tcPr>
          <w:p w14:paraId="5EFBA776" w14:textId="7FD83380" w:rsidR="00CF4D04" w:rsidRDefault="00CF4D04" w:rsidP="00CF4D04">
            <w:pPr>
              <w:tabs>
                <w:tab w:val="right" w:pos="9000"/>
              </w:tabs>
              <w:rPr>
                <w:rFonts w:cs="Arial"/>
                <w:szCs w:val="22"/>
              </w:rPr>
            </w:pPr>
            <w:r w:rsidRPr="00CF4D04">
              <w:rPr>
                <w:rFonts w:cs="Arial"/>
                <w:b/>
                <w:szCs w:val="22"/>
              </w:rPr>
              <w:t>Route Prioritisation</w:t>
            </w:r>
          </w:p>
        </w:tc>
      </w:tr>
      <w:tr w:rsidR="00CF4D04" w14:paraId="5E0525A7" w14:textId="77777777" w:rsidTr="00A847C9">
        <w:tc>
          <w:tcPr>
            <w:tcW w:w="817" w:type="dxa"/>
            <w:vAlign w:val="center"/>
          </w:tcPr>
          <w:p w14:paraId="78192CD7" w14:textId="774D2D38" w:rsidR="00CF4D04" w:rsidRDefault="00CF4D04" w:rsidP="00CF4D04">
            <w:pPr>
              <w:tabs>
                <w:tab w:val="right" w:pos="9000"/>
              </w:tabs>
              <w:jc w:val="center"/>
              <w:rPr>
                <w:rFonts w:cs="Arial"/>
                <w:szCs w:val="22"/>
              </w:rPr>
            </w:pPr>
            <w:r w:rsidRPr="00CF4D04">
              <w:rPr>
                <w:rFonts w:cs="Arial"/>
                <w:szCs w:val="22"/>
              </w:rPr>
              <w:t>2</w:t>
            </w:r>
            <w:r>
              <w:rPr>
                <w:rFonts w:cs="Arial"/>
                <w:szCs w:val="22"/>
              </w:rPr>
              <w:t>1</w:t>
            </w:r>
          </w:p>
        </w:tc>
        <w:tc>
          <w:tcPr>
            <w:tcW w:w="7513" w:type="dxa"/>
            <w:vAlign w:val="center"/>
          </w:tcPr>
          <w:p w14:paraId="78DA2C36" w14:textId="7F34F15C" w:rsidR="00CF4D04" w:rsidRDefault="00CF4D04" w:rsidP="00CF4D04">
            <w:pPr>
              <w:tabs>
                <w:tab w:val="right" w:pos="9000"/>
              </w:tabs>
              <w:rPr>
                <w:rFonts w:cs="Arial"/>
                <w:szCs w:val="22"/>
              </w:rPr>
            </w:pPr>
            <w:r w:rsidRPr="00CF4D04">
              <w:rPr>
                <w:rFonts w:cs="Arial"/>
                <w:szCs w:val="22"/>
              </w:rPr>
              <w:t>Carriageway route priorities – Primary Gritting Routes</w:t>
            </w:r>
          </w:p>
        </w:tc>
        <w:tc>
          <w:tcPr>
            <w:tcW w:w="6422" w:type="dxa"/>
            <w:vAlign w:val="center"/>
          </w:tcPr>
          <w:p w14:paraId="2D1C5CFF" w14:textId="77777777" w:rsidR="00CF4D04" w:rsidRPr="00CF4D04" w:rsidRDefault="00CF4D04" w:rsidP="00CF4D04">
            <w:pPr>
              <w:jc w:val="left"/>
              <w:rPr>
                <w:rFonts w:cs="Arial"/>
                <w:szCs w:val="22"/>
              </w:rPr>
            </w:pPr>
            <w:r w:rsidRPr="00CF4D04">
              <w:rPr>
                <w:rFonts w:cs="Arial"/>
                <w:szCs w:val="22"/>
              </w:rPr>
              <w:t>Hierarchy 3B and above</w:t>
            </w:r>
          </w:p>
          <w:p w14:paraId="34285ECE" w14:textId="77777777" w:rsidR="00CF4D04" w:rsidRPr="00CF4D04" w:rsidRDefault="00CF4D04" w:rsidP="00CF4D04">
            <w:pPr>
              <w:jc w:val="left"/>
              <w:rPr>
                <w:rFonts w:cs="Arial"/>
                <w:szCs w:val="22"/>
              </w:rPr>
            </w:pPr>
            <w:r w:rsidRPr="00CF4D04">
              <w:rPr>
                <w:rFonts w:cs="Arial"/>
                <w:szCs w:val="22"/>
              </w:rPr>
              <w:t>Schools</w:t>
            </w:r>
          </w:p>
          <w:p w14:paraId="0BC9D935" w14:textId="77777777" w:rsidR="00CF4D04" w:rsidRPr="00CF4D04" w:rsidRDefault="00CF4D04" w:rsidP="00CF4D04">
            <w:pPr>
              <w:jc w:val="left"/>
              <w:rPr>
                <w:rFonts w:cs="Arial"/>
                <w:szCs w:val="22"/>
              </w:rPr>
            </w:pPr>
            <w:r w:rsidRPr="00CF4D04">
              <w:rPr>
                <w:rFonts w:cs="Arial"/>
                <w:szCs w:val="22"/>
              </w:rPr>
              <w:t>Gradient roads</w:t>
            </w:r>
          </w:p>
          <w:p w14:paraId="64DF1A69" w14:textId="599E8DF6" w:rsidR="00CF4D04" w:rsidRDefault="00CF4D04" w:rsidP="00CF4D04">
            <w:pPr>
              <w:tabs>
                <w:tab w:val="right" w:pos="9000"/>
              </w:tabs>
              <w:rPr>
                <w:rFonts w:cs="Arial"/>
                <w:szCs w:val="22"/>
              </w:rPr>
            </w:pPr>
            <w:r w:rsidRPr="00CF4D04">
              <w:rPr>
                <w:rFonts w:cs="Arial"/>
                <w:szCs w:val="22"/>
              </w:rPr>
              <w:t>Industrial estate through roads</w:t>
            </w:r>
          </w:p>
        </w:tc>
      </w:tr>
      <w:tr w:rsidR="00CF4D04" w14:paraId="46F35D8E" w14:textId="77777777" w:rsidTr="00A847C9">
        <w:tc>
          <w:tcPr>
            <w:tcW w:w="817" w:type="dxa"/>
            <w:vAlign w:val="center"/>
          </w:tcPr>
          <w:p w14:paraId="06826D02" w14:textId="55C7812C" w:rsidR="00CF4D04" w:rsidRDefault="00CF4D04" w:rsidP="00CF4D04">
            <w:pPr>
              <w:tabs>
                <w:tab w:val="right" w:pos="9000"/>
              </w:tabs>
              <w:jc w:val="center"/>
              <w:rPr>
                <w:rFonts w:cs="Arial"/>
                <w:szCs w:val="22"/>
              </w:rPr>
            </w:pPr>
            <w:r w:rsidRPr="00CF4D04">
              <w:rPr>
                <w:rFonts w:cs="Arial"/>
                <w:szCs w:val="22"/>
              </w:rPr>
              <w:t>2</w:t>
            </w:r>
            <w:r>
              <w:rPr>
                <w:rFonts w:cs="Arial"/>
                <w:szCs w:val="22"/>
              </w:rPr>
              <w:t>2</w:t>
            </w:r>
          </w:p>
        </w:tc>
        <w:tc>
          <w:tcPr>
            <w:tcW w:w="7513" w:type="dxa"/>
            <w:vAlign w:val="center"/>
          </w:tcPr>
          <w:p w14:paraId="549CAA6F" w14:textId="7AE9DE2C" w:rsidR="00CF4D04" w:rsidRDefault="00CF4D04" w:rsidP="00CF4D04">
            <w:pPr>
              <w:tabs>
                <w:tab w:val="right" w:pos="9000"/>
              </w:tabs>
              <w:rPr>
                <w:rFonts w:cs="Arial"/>
                <w:szCs w:val="22"/>
              </w:rPr>
            </w:pPr>
            <w:r w:rsidRPr="00CF4D04">
              <w:rPr>
                <w:rFonts w:cs="Arial"/>
                <w:szCs w:val="22"/>
              </w:rPr>
              <w:t>Carriageway route priorities – Secondary Gritting Routes</w:t>
            </w:r>
          </w:p>
        </w:tc>
        <w:tc>
          <w:tcPr>
            <w:tcW w:w="6422" w:type="dxa"/>
            <w:vAlign w:val="center"/>
          </w:tcPr>
          <w:p w14:paraId="194353D2" w14:textId="78FD4AFF" w:rsidR="00CF4D04" w:rsidRDefault="00CF4D04" w:rsidP="00CF4D04">
            <w:pPr>
              <w:tabs>
                <w:tab w:val="right" w:pos="9000"/>
              </w:tabs>
              <w:rPr>
                <w:rFonts w:cs="Arial"/>
                <w:szCs w:val="22"/>
              </w:rPr>
            </w:pPr>
            <w:r w:rsidRPr="00CF4D04">
              <w:rPr>
                <w:rFonts w:cs="Arial"/>
                <w:szCs w:val="22"/>
              </w:rPr>
              <w:t>All other roads which aren’t either P1 or cul-de-sac</w:t>
            </w:r>
          </w:p>
        </w:tc>
      </w:tr>
      <w:tr w:rsidR="00CF4D04" w14:paraId="4840ED50" w14:textId="77777777" w:rsidTr="00A847C9">
        <w:tc>
          <w:tcPr>
            <w:tcW w:w="817" w:type="dxa"/>
            <w:vAlign w:val="center"/>
          </w:tcPr>
          <w:p w14:paraId="0158E842" w14:textId="4741CF24" w:rsidR="00CF4D04" w:rsidRDefault="00CF4D04" w:rsidP="00CF4D04">
            <w:pPr>
              <w:tabs>
                <w:tab w:val="right" w:pos="9000"/>
              </w:tabs>
              <w:jc w:val="center"/>
              <w:rPr>
                <w:rFonts w:cs="Arial"/>
                <w:szCs w:val="22"/>
              </w:rPr>
            </w:pPr>
            <w:r>
              <w:rPr>
                <w:rFonts w:cs="Arial"/>
                <w:szCs w:val="22"/>
              </w:rPr>
              <w:t>23</w:t>
            </w:r>
          </w:p>
        </w:tc>
        <w:tc>
          <w:tcPr>
            <w:tcW w:w="7513" w:type="dxa"/>
            <w:vAlign w:val="center"/>
          </w:tcPr>
          <w:p w14:paraId="4AD2CD05" w14:textId="4A724BAE" w:rsidR="00CF4D04" w:rsidRDefault="00CF4D04" w:rsidP="00CF4D04">
            <w:pPr>
              <w:tabs>
                <w:tab w:val="right" w:pos="9000"/>
              </w:tabs>
              <w:rPr>
                <w:rFonts w:cs="Arial"/>
                <w:szCs w:val="22"/>
              </w:rPr>
            </w:pPr>
            <w:r w:rsidRPr="00CF4D04">
              <w:rPr>
                <w:rFonts w:cs="Arial"/>
                <w:szCs w:val="22"/>
              </w:rPr>
              <w:t>Carriageway route priorities – Tertiary Gritting Routes</w:t>
            </w:r>
          </w:p>
        </w:tc>
        <w:tc>
          <w:tcPr>
            <w:tcW w:w="6422" w:type="dxa"/>
            <w:vAlign w:val="center"/>
          </w:tcPr>
          <w:p w14:paraId="141016A1" w14:textId="1DCE38DD" w:rsidR="00CF4D04" w:rsidRDefault="00CF4D04" w:rsidP="00CF4D04">
            <w:pPr>
              <w:tabs>
                <w:tab w:val="right" w:pos="9000"/>
              </w:tabs>
              <w:rPr>
                <w:rFonts w:cs="Arial"/>
                <w:szCs w:val="22"/>
              </w:rPr>
            </w:pPr>
            <w:r w:rsidRPr="00CF4D04">
              <w:rPr>
                <w:rFonts w:cs="Arial"/>
                <w:szCs w:val="22"/>
              </w:rPr>
              <w:t>Cul-de-sacs</w:t>
            </w:r>
          </w:p>
        </w:tc>
      </w:tr>
      <w:tr w:rsidR="00CF4D04" w14:paraId="0772EBC7" w14:textId="77777777" w:rsidTr="00A847C9">
        <w:tc>
          <w:tcPr>
            <w:tcW w:w="817" w:type="dxa"/>
            <w:vAlign w:val="center"/>
          </w:tcPr>
          <w:p w14:paraId="7DDCF332" w14:textId="74E67C2C" w:rsidR="00CF4D04" w:rsidRDefault="00CF4D04" w:rsidP="00CF4D04">
            <w:pPr>
              <w:tabs>
                <w:tab w:val="right" w:pos="9000"/>
              </w:tabs>
              <w:jc w:val="center"/>
              <w:rPr>
                <w:rFonts w:cs="Arial"/>
                <w:szCs w:val="22"/>
              </w:rPr>
            </w:pPr>
            <w:r>
              <w:rPr>
                <w:rFonts w:cs="Arial"/>
                <w:szCs w:val="22"/>
              </w:rPr>
              <w:t>24</w:t>
            </w:r>
          </w:p>
        </w:tc>
        <w:tc>
          <w:tcPr>
            <w:tcW w:w="7513" w:type="dxa"/>
            <w:vAlign w:val="center"/>
          </w:tcPr>
          <w:p w14:paraId="206ABCE7" w14:textId="3AF67763" w:rsidR="00CF4D04" w:rsidRDefault="00CF4D04" w:rsidP="00CF4D04">
            <w:pPr>
              <w:tabs>
                <w:tab w:val="right" w:pos="9000"/>
              </w:tabs>
              <w:rPr>
                <w:rFonts w:cs="Arial"/>
                <w:szCs w:val="22"/>
              </w:rPr>
            </w:pPr>
            <w:r w:rsidRPr="00CF4D04">
              <w:rPr>
                <w:rFonts w:cs="Arial"/>
                <w:szCs w:val="22"/>
              </w:rPr>
              <w:t>Footway route priorities – Primary Gritting Routes</w:t>
            </w:r>
          </w:p>
        </w:tc>
        <w:tc>
          <w:tcPr>
            <w:tcW w:w="6422" w:type="dxa"/>
            <w:vAlign w:val="center"/>
          </w:tcPr>
          <w:p w14:paraId="1C4ED288" w14:textId="77777777" w:rsidR="00CF4D04" w:rsidRPr="00CF4D04" w:rsidRDefault="00CF4D04" w:rsidP="00CF4D04">
            <w:pPr>
              <w:jc w:val="left"/>
              <w:rPr>
                <w:rFonts w:cs="Arial"/>
                <w:szCs w:val="22"/>
              </w:rPr>
            </w:pPr>
            <w:r w:rsidRPr="00CF4D04">
              <w:rPr>
                <w:rFonts w:cs="Arial"/>
                <w:szCs w:val="22"/>
              </w:rPr>
              <w:t xml:space="preserve">Urban precincts (Dundee City Centre, </w:t>
            </w:r>
            <w:proofErr w:type="spellStart"/>
            <w:r w:rsidRPr="00CF4D04">
              <w:rPr>
                <w:rFonts w:cs="Arial"/>
                <w:szCs w:val="22"/>
              </w:rPr>
              <w:t>Broughty</w:t>
            </w:r>
            <w:proofErr w:type="spellEnd"/>
            <w:r w:rsidRPr="00CF4D04">
              <w:rPr>
                <w:rFonts w:cs="Arial"/>
                <w:szCs w:val="22"/>
              </w:rPr>
              <w:t xml:space="preserve"> Ferry centre, </w:t>
            </w:r>
            <w:proofErr w:type="spellStart"/>
            <w:r w:rsidRPr="00CF4D04">
              <w:rPr>
                <w:rFonts w:cs="Arial"/>
                <w:szCs w:val="22"/>
              </w:rPr>
              <w:t>Lochee</w:t>
            </w:r>
            <w:proofErr w:type="spellEnd"/>
            <w:r w:rsidRPr="00CF4D04">
              <w:rPr>
                <w:rFonts w:cs="Arial"/>
                <w:szCs w:val="22"/>
              </w:rPr>
              <w:t xml:space="preserve"> High St and Perth Rd).</w:t>
            </w:r>
          </w:p>
          <w:p w14:paraId="39DDA796" w14:textId="16EF5C6A" w:rsidR="00CF4D04" w:rsidRDefault="00CF4D04" w:rsidP="00CF4D04">
            <w:pPr>
              <w:tabs>
                <w:tab w:val="right" w:pos="9000"/>
              </w:tabs>
              <w:rPr>
                <w:rFonts w:cs="Arial"/>
                <w:szCs w:val="22"/>
              </w:rPr>
            </w:pPr>
            <w:r w:rsidRPr="00CF4D04">
              <w:rPr>
                <w:rFonts w:cs="Arial"/>
                <w:szCs w:val="22"/>
              </w:rPr>
              <w:t>Schools</w:t>
            </w:r>
          </w:p>
        </w:tc>
      </w:tr>
      <w:tr w:rsidR="00CF4D04" w14:paraId="451662C9" w14:textId="77777777" w:rsidTr="00A847C9">
        <w:tc>
          <w:tcPr>
            <w:tcW w:w="817" w:type="dxa"/>
            <w:vAlign w:val="center"/>
          </w:tcPr>
          <w:p w14:paraId="5ECBF34E" w14:textId="7FA37DD8" w:rsidR="00CF4D04" w:rsidRDefault="00CF4D04" w:rsidP="00CF4D04">
            <w:pPr>
              <w:tabs>
                <w:tab w:val="right" w:pos="9000"/>
              </w:tabs>
              <w:jc w:val="center"/>
              <w:rPr>
                <w:rFonts w:cs="Arial"/>
                <w:szCs w:val="22"/>
              </w:rPr>
            </w:pPr>
            <w:r>
              <w:rPr>
                <w:rFonts w:cs="Arial"/>
                <w:szCs w:val="22"/>
              </w:rPr>
              <w:t>25</w:t>
            </w:r>
          </w:p>
        </w:tc>
        <w:tc>
          <w:tcPr>
            <w:tcW w:w="7513" w:type="dxa"/>
            <w:vAlign w:val="center"/>
          </w:tcPr>
          <w:p w14:paraId="5141D226" w14:textId="0E5D3FEE" w:rsidR="00CF4D04" w:rsidRDefault="00CF4D04" w:rsidP="00CF4D04">
            <w:pPr>
              <w:tabs>
                <w:tab w:val="right" w:pos="9000"/>
              </w:tabs>
              <w:rPr>
                <w:rFonts w:cs="Arial"/>
                <w:szCs w:val="22"/>
              </w:rPr>
            </w:pPr>
            <w:r w:rsidRPr="00CF4D04">
              <w:rPr>
                <w:rFonts w:cs="Arial"/>
                <w:szCs w:val="22"/>
              </w:rPr>
              <w:t>Footway route priorities – Secondary Gritting Routes</w:t>
            </w:r>
          </w:p>
        </w:tc>
        <w:tc>
          <w:tcPr>
            <w:tcW w:w="6422" w:type="dxa"/>
            <w:vAlign w:val="center"/>
          </w:tcPr>
          <w:p w14:paraId="6527DB56" w14:textId="2A6A4F53" w:rsidR="00CF4D04" w:rsidRDefault="00CF4D04" w:rsidP="00CF4D04">
            <w:pPr>
              <w:tabs>
                <w:tab w:val="right" w:pos="9000"/>
              </w:tabs>
              <w:rPr>
                <w:rFonts w:cs="Arial"/>
                <w:szCs w:val="22"/>
              </w:rPr>
            </w:pPr>
            <w:r w:rsidRPr="00CF4D04">
              <w:rPr>
                <w:rFonts w:cs="Arial"/>
                <w:szCs w:val="22"/>
              </w:rPr>
              <w:t>All other footways and remote cycleways</w:t>
            </w:r>
          </w:p>
        </w:tc>
      </w:tr>
    </w:tbl>
    <w:p w14:paraId="074CCF76" w14:textId="77777777" w:rsidR="00CF4D04" w:rsidRPr="00CF4D04" w:rsidRDefault="00CF4D04" w:rsidP="009E40A2">
      <w:pPr>
        <w:tabs>
          <w:tab w:val="right" w:pos="9000"/>
        </w:tabs>
        <w:rPr>
          <w:rFonts w:cs="Arial"/>
          <w:szCs w:val="22"/>
        </w:rPr>
      </w:pPr>
    </w:p>
    <w:sectPr w:rsidR="00CF4D04" w:rsidRPr="00CF4D04" w:rsidSect="006E48F7">
      <w:headerReference w:type="default" r:id="rId11"/>
      <w:pgSz w:w="16838" w:h="11906" w:orient="landscape" w:code="9"/>
      <w:pgMar w:top="1440" w:right="1440" w:bottom="1440" w:left="862" w:header="1440" w:footer="709" w:gutter="0"/>
      <w:paperSrc w:first="260" w:other="26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CD016" w14:textId="77777777" w:rsidR="0022299B" w:rsidRDefault="0022299B">
      <w:r>
        <w:separator/>
      </w:r>
    </w:p>
  </w:endnote>
  <w:endnote w:type="continuationSeparator" w:id="0">
    <w:p w14:paraId="0CBD398B" w14:textId="77777777" w:rsidR="0022299B" w:rsidRDefault="0022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96CD8" w14:textId="77777777" w:rsidR="0022299B" w:rsidRDefault="0022299B">
    <w:pPr>
      <w:pStyle w:val="Footer"/>
    </w:pPr>
    <w:r>
      <w:tab/>
    </w:r>
  </w:p>
  <w:p w14:paraId="43014494" w14:textId="77777777" w:rsidR="0022299B" w:rsidRDefault="00222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ECED8" w14:textId="77777777" w:rsidR="0022299B" w:rsidRDefault="0022299B">
      <w:r>
        <w:separator/>
      </w:r>
    </w:p>
  </w:footnote>
  <w:footnote w:type="continuationSeparator" w:id="0">
    <w:p w14:paraId="422E02A8" w14:textId="77777777" w:rsidR="0022299B" w:rsidRDefault="00222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7"/>
      <w:gridCol w:w="3655"/>
    </w:tblGrid>
    <w:tr w:rsidR="0022299B" w14:paraId="24B61EA4" w14:textId="77777777" w:rsidTr="00E55D37">
      <w:tc>
        <w:tcPr>
          <w:tcW w:w="6062" w:type="dxa"/>
          <w:vAlign w:val="center"/>
        </w:tcPr>
        <w:p w14:paraId="2D66D33B" w14:textId="77777777" w:rsidR="0022299B" w:rsidRDefault="0022299B" w:rsidP="00E55D37">
          <w:pPr>
            <w:rPr>
              <w:sz w:val="32"/>
              <w:szCs w:val="32"/>
            </w:rPr>
          </w:pPr>
        </w:p>
      </w:tc>
      <w:tc>
        <w:tcPr>
          <w:tcW w:w="3736" w:type="dxa"/>
          <w:vAlign w:val="center"/>
        </w:tcPr>
        <w:p w14:paraId="5CC24AA2" w14:textId="77777777" w:rsidR="0022299B" w:rsidRDefault="0022299B" w:rsidP="00E55D37">
          <w:pPr>
            <w:jc w:val="right"/>
            <w:rPr>
              <w:sz w:val="32"/>
              <w:szCs w:val="32"/>
            </w:rPr>
          </w:pPr>
        </w:p>
      </w:tc>
    </w:tr>
  </w:tbl>
  <w:p w14:paraId="79C241BB" w14:textId="77777777" w:rsidR="0022299B" w:rsidRPr="00807DF4" w:rsidRDefault="0022299B" w:rsidP="00E55D37">
    <w:pPr>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F0A9B" w14:textId="77777777" w:rsidR="0022299B" w:rsidRPr="00F96D45" w:rsidRDefault="0022299B" w:rsidP="00F96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FA8A4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BA803470"/>
    <w:lvl w:ilvl="0">
      <w:start w:val="1"/>
      <w:numFmt w:val="decimal"/>
      <w:pStyle w:val="Heading1"/>
      <w:lvlText w:val="%1"/>
      <w:legacy w:legacy="1" w:legacySpace="0" w:legacyIndent="0"/>
      <w:lvlJc w:val="left"/>
    </w:lvl>
    <w:lvl w:ilvl="1">
      <w:start w:val="1"/>
      <w:numFmt w:val="decimal"/>
      <w:pStyle w:val="Heading2"/>
      <w:lvlText w:val="%1.%2"/>
      <w:legacy w:legacy="1" w:legacySpace="0" w:legacyIndent="0"/>
      <w:lvlJc w:val="left"/>
    </w:lvl>
    <w:lvl w:ilvl="2">
      <w:start w:val="1"/>
      <w:numFmt w:val="lowerLetter"/>
      <w:pStyle w:val="Heading3"/>
      <w:lvlText w:val="%3"/>
      <w:legacy w:legacy="1" w:legacySpace="0" w:legacyIndent="0"/>
      <w:lvlJc w:val="left"/>
    </w:lvl>
    <w:lvl w:ilvl="3">
      <w:start w:val="1"/>
      <w:numFmt w:val="none"/>
      <w:pStyle w:val="Heading4"/>
      <w:suff w:val="nothing"/>
      <w:lvlText w:val=""/>
      <w:lvlJc w:val="left"/>
    </w:lvl>
    <w:lvl w:ilvl="4">
      <w:start w:val="1"/>
      <w:numFmt w:val="decimal"/>
      <w:pStyle w:val="Heading5"/>
      <w:lvlText w:val=".%5"/>
      <w:legacy w:legacy="1" w:legacySpace="144" w:legacyIndent="0"/>
      <w:lvlJc w:val="left"/>
    </w:lvl>
    <w:lvl w:ilvl="5">
      <w:start w:val="1"/>
      <w:numFmt w:val="decimal"/>
      <w:pStyle w:val="Heading6"/>
      <w:lvlText w:val=".%5.%6"/>
      <w:legacy w:legacy="1" w:legacySpace="144" w:legacyIndent="0"/>
      <w:lvlJc w:val="left"/>
    </w:lvl>
    <w:lvl w:ilvl="6">
      <w:start w:val="1"/>
      <w:numFmt w:val="decimal"/>
      <w:pStyle w:val="Heading7"/>
      <w:lvlText w:val=".%5.%6.%7"/>
      <w:legacy w:legacy="1" w:legacySpace="144" w:legacyIndent="0"/>
      <w:lvlJc w:val="left"/>
    </w:lvl>
    <w:lvl w:ilvl="7">
      <w:start w:val="1"/>
      <w:numFmt w:val="decimal"/>
      <w:pStyle w:val="Heading8"/>
      <w:lvlText w:val=".%5.%6.%7.%8"/>
      <w:legacy w:legacy="1" w:legacySpace="144" w:legacyIndent="0"/>
      <w:lvlJc w:val="left"/>
    </w:lvl>
    <w:lvl w:ilvl="8">
      <w:start w:val="1"/>
      <w:numFmt w:val="decimal"/>
      <w:pStyle w:val="Heading9"/>
      <w:lvlText w:val=".%5.%6.%7.%8.%9"/>
      <w:legacy w:legacy="1" w:legacySpace="144" w:legacyIndent="0"/>
      <w:lvlJc w:val="left"/>
    </w:lvl>
  </w:abstractNum>
  <w:abstractNum w:abstractNumId="2" w15:restartNumberingAfterBreak="0">
    <w:nsid w:val="0AD130C3"/>
    <w:multiLevelType w:val="multilevel"/>
    <w:tmpl w:val="24565F04"/>
    <w:lvl w:ilvl="0">
      <w:start w:val="4"/>
      <w:numFmt w:val="decimal"/>
      <w:lvlText w:val="%1"/>
      <w:lvlJc w:val="left"/>
      <w:pPr>
        <w:tabs>
          <w:tab w:val="num" w:pos="360"/>
        </w:tabs>
        <w:ind w:left="360" w:hanging="360"/>
      </w:pPr>
      <w:rPr>
        <w:rFonts w:hint="default"/>
      </w:rPr>
    </w:lvl>
    <w:lvl w:ilvl="1">
      <w:start w:val="3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B62E6C"/>
    <w:multiLevelType w:val="multilevel"/>
    <w:tmpl w:val="24565F04"/>
    <w:lvl w:ilvl="0">
      <w:start w:val="4"/>
      <w:numFmt w:val="decimal"/>
      <w:lvlText w:val="%1"/>
      <w:lvlJc w:val="left"/>
      <w:pPr>
        <w:tabs>
          <w:tab w:val="num" w:pos="360"/>
        </w:tabs>
        <w:ind w:left="360" w:hanging="360"/>
      </w:pPr>
      <w:rPr>
        <w:rFonts w:hint="default"/>
      </w:rPr>
    </w:lvl>
    <w:lvl w:ilvl="1">
      <w:start w:val="3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EC71E11"/>
    <w:multiLevelType w:val="hybridMultilevel"/>
    <w:tmpl w:val="46E894C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7B0616B"/>
    <w:multiLevelType w:val="multilevel"/>
    <w:tmpl w:val="442CAE46"/>
    <w:lvl w:ilvl="0">
      <w:start w:val="1"/>
      <w:numFmt w:val="decimal"/>
      <w:pStyle w:val="Bulletedlist1"/>
      <w:lvlText w:val="%1."/>
      <w:lvlJc w:val="left"/>
      <w:pPr>
        <w:ind w:left="72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640" w:hanging="144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880" w:hanging="1800"/>
      </w:pPr>
      <w:rPr>
        <w:rFonts w:hint="default"/>
      </w:rPr>
    </w:lvl>
    <w:lvl w:ilvl="8">
      <w:start w:val="1"/>
      <w:numFmt w:val="decimal"/>
      <w:isLgl/>
      <w:lvlText w:val="%1.%2.%3.%4.%5.%6.%7.%8.%9"/>
      <w:lvlJc w:val="left"/>
      <w:pPr>
        <w:ind w:left="13320" w:hanging="1800"/>
      </w:pPr>
      <w:rPr>
        <w:rFonts w:hint="default"/>
      </w:rPr>
    </w:lvl>
  </w:abstractNum>
  <w:abstractNum w:abstractNumId="6" w15:restartNumberingAfterBreak="0">
    <w:nsid w:val="2105039B"/>
    <w:multiLevelType w:val="hybridMultilevel"/>
    <w:tmpl w:val="171C0F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9097F6E"/>
    <w:multiLevelType w:val="hybridMultilevel"/>
    <w:tmpl w:val="D33AD4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FAA5822"/>
    <w:multiLevelType w:val="singleLevel"/>
    <w:tmpl w:val="28CC6104"/>
    <w:lvl w:ilvl="0">
      <w:start w:val="1"/>
      <w:numFmt w:val="decimal"/>
      <w:lvlText w:val="%1"/>
      <w:legacy w:legacy="1" w:legacySpace="0" w:legacyIndent="432"/>
      <w:lvlJc w:val="left"/>
      <w:pPr>
        <w:ind w:left="432" w:hanging="432"/>
      </w:pPr>
    </w:lvl>
  </w:abstractNum>
  <w:abstractNum w:abstractNumId="9" w15:restartNumberingAfterBreak="0">
    <w:nsid w:val="339C26EE"/>
    <w:multiLevelType w:val="hybridMultilevel"/>
    <w:tmpl w:val="5BC40818"/>
    <w:lvl w:ilvl="0" w:tplc="08090017">
      <w:start w:val="1"/>
      <w:numFmt w:val="lowerLetter"/>
      <w:lvlText w:val="%1)"/>
      <w:lvlJc w:val="left"/>
      <w:pPr>
        <w:tabs>
          <w:tab w:val="num" w:pos="1429"/>
        </w:tabs>
        <w:ind w:left="1429" w:hanging="360"/>
      </w:pPr>
    </w:lvl>
    <w:lvl w:ilvl="1" w:tplc="08090019" w:tentative="1">
      <w:start w:val="1"/>
      <w:numFmt w:val="lowerLetter"/>
      <w:lvlText w:val="%2."/>
      <w:lvlJc w:val="left"/>
      <w:pPr>
        <w:tabs>
          <w:tab w:val="num" w:pos="2149"/>
        </w:tabs>
        <w:ind w:left="2149" w:hanging="360"/>
      </w:pPr>
    </w:lvl>
    <w:lvl w:ilvl="2" w:tplc="0809001B" w:tentative="1">
      <w:start w:val="1"/>
      <w:numFmt w:val="lowerRoman"/>
      <w:lvlText w:val="%3."/>
      <w:lvlJc w:val="right"/>
      <w:pPr>
        <w:tabs>
          <w:tab w:val="num" w:pos="2869"/>
        </w:tabs>
        <w:ind w:left="2869" w:hanging="180"/>
      </w:pPr>
    </w:lvl>
    <w:lvl w:ilvl="3" w:tplc="0809000F" w:tentative="1">
      <w:start w:val="1"/>
      <w:numFmt w:val="decimal"/>
      <w:lvlText w:val="%4."/>
      <w:lvlJc w:val="left"/>
      <w:pPr>
        <w:tabs>
          <w:tab w:val="num" w:pos="3589"/>
        </w:tabs>
        <w:ind w:left="3589" w:hanging="360"/>
      </w:pPr>
    </w:lvl>
    <w:lvl w:ilvl="4" w:tplc="08090019" w:tentative="1">
      <w:start w:val="1"/>
      <w:numFmt w:val="lowerLetter"/>
      <w:lvlText w:val="%5."/>
      <w:lvlJc w:val="left"/>
      <w:pPr>
        <w:tabs>
          <w:tab w:val="num" w:pos="4309"/>
        </w:tabs>
        <w:ind w:left="4309" w:hanging="360"/>
      </w:pPr>
    </w:lvl>
    <w:lvl w:ilvl="5" w:tplc="0809001B" w:tentative="1">
      <w:start w:val="1"/>
      <w:numFmt w:val="lowerRoman"/>
      <w:lvlText w:val="%6."/>
      <w:lvlJc w:val="right"/>
      <w:pPr>
        <w:tabs>
          <w:tab w:val="num" w:pos="5029"/>
        </w:tabs>
        <w:ind w:left="5029" w:hanging="180"/>
      </w:pPr>
    </w:lvl>
    <w:lvl w:ilvl="6" w:tplc="0809000F" w:tentative="1">
      <w:start w:val="1"/>
      <w:numFmt w:val="decimal"/>
      <w:lvlText w:val="%7."/>
      <w:lvlJc w:val="left"/>
      <w:pPr>
        <w:tabs>
          <w:tab w:val="num" w:pos="5749"/>
        </w:tabs>
        <w:ind w:left="5749" w:hanging="360"/>
      </w:pPr>
    </w:lvl>
    <w:lvl w:ilvl="7" w:tplc="08090019" w:tentative="1">
      <w:start w:val="1"/>
      <w:numFmt w:val="lowerLetter"/>
      <w:lvlText w:val="%8."/>
      <w:lvlJc w:val="left"/>
      <w:pPr>
        <w:tabs>
          <w:tab w:val="num" w:pos="6469"/>
        </w:tabs>
        <w:ind w:left="6469" w:hanging="360"/>
      </w:pPr>
    </w:lvl>
    <w:lvl w:ilvl="8" w:tplc="0809001B" w:tentative="1">
      <w:start w:val="1"/>
      <w:numFmt w:val="lowerRoman"/>
      <w:lvlText w:val="%9."/>
      <w:lvlJc w:val="right"/>
      <w:pPr>
        <w:tabs>
          <w:tab w:val="num" w:pos="7189"/>
        </w:tabs>
        <w:ind w:left="7189" w:hanging="180"/>
      </w:pPr>
    </w:lvl>
  </w:abstractNum>
  <w:abstractNum w:abstractNumId="10" w15:restartNumberingAfterBreak="0">
    <w:nsid w:val="3A410CFB"/>
    <w:multiLevelType w:val="singleLevel"/>
    <w:tmpl w:val="C912351A"/>
    <w:lvl w:ilvl="0">
      <w:start w:val="1"/>
      <w:numFmt w:val="lowerRoman"/>
      <w:lvlText w:val="%1"/>
      <w:lvlJc w:val="left"/>
      <w:pPr>
        <w:tabs>
          <w:tab w:val="num" w:pos="648"/>
        </w:tabs>
        <w:ind w:left="360" w:hanging="432"/>
      </w:pPr>
    </w:lvl>
  </w:abstractNum>
  <w:abstractNum w:abstractNumId="11" w15:restartNumberingAfterBreak="0">
    <w:nsid w:val="3B55799C"/>
    <w:multiLevelType w:val="hybridMultilevel"/>
    <w:tmpl w:val="56CC25A4"/>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2" w15:restartNumberingAfterBreak="0">
    <w:nsid w:val="3ECD7D02"/>
    <w:multiLevelType w:val="hybridMultilevel"/>
    <w:tmpl w:val="FB602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F04494"/>
    <w:multiLevelType w:val="singleLevel"/>
    <w:tmpl w:val="2156626E"/>
    <w:lvl w:ilvl="0">
      <w:start w:val="1"/>
      <w:numFmt w:val="decimal"/>
      <w:lvlText w:val="%1"/>
      <w:lvlJc w:val="left"/>
      <w:pPr>
        <w:tabs>
          <w:tab w:val="num" w:pos="360"/>
        </w:tabs>
        <w:ind w:left="360" w:hanging="360"/>
      </w:pPr>
    </w:lvl>
  </w:abstractNum>
  <w:abstractNum w:abstractNumId="14" w15:restartNumberingAfterBreak="0">
    <w:nsid w:val="43E62034"/>
    <w:multiLevelType w:val="hybridMultilevel"/>
    <w:tmpl w:val="5ADE94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AEB55BF"/>
    <w:multiLevelType w:val="singleLevel"/>
    <w:tmpl w:val="46744946"/>
    <w:lvl w:ilvl="0">
      <w:start w:val="1"/>
      <w:numFmt w:val="bullet"/>
      <w:pStyle w:val="DQSummaryText"/>
      <w:lvlText w:val=""/>
      <w:lvlJc w:val="left"/>
      <w:pPr>
        <w:tabs>
          <w:tab w:val="num" w:pos="360"/>
        </w:tabs>
        <w:ind w:left="360" w:hanging="360"/>
      </w:pPr>
      <w:rPr>
        <w:rFonts w:ascii="Symbol" w:hAnsi="Symbol" w:hint="default"/>
      </w:rPr>
    </w:lvl>
  </w:abstractNum>
  <w:abstractNum w:abstractNumId="16" w15:restartNumberingAfterBreak="0">
    <w:nsid w:val="4C732600"/>
    <w:multiLevelType w:val="hybridMultilevel"/>
    <w:tmpl w:val="120E1D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C3A7136"/>
    <w:multiLevelType w:val="hybridMultilevel"/>
    <w:tmpl w:val="D76AA3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C946509"/>
    <w:multiLevelType w:val="hybridMultilevel"/>
    <w:tmpl w:val="D132E64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5E7623CF"/>
    <w:multiLevelType w:val="hybridMultilevel"/>
    <w:tmpl w:val="D20EF4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FA1887"/>
    <w:multiLevelType w:val="hybridMultilevel"/>
    <w:tmpl w:val="69426872"/>
    <w:lvl w:ilvl="0" w:tplc="55F65212">
      <w:start w:val="1"/>
      <w:numFmt w:val="lowerRoman"/>
      <w:lvlText w:val="%1"/>
      <w:lvlJc w:val="left"/>
      <w:pPr>
        <w:tabs>
          <w:tab w:val="num" w:pos="1429"/>
        </w:tabs>
        <w:ind w:left="1141" w:hanging="432"/>
      </w:pPr>
      <w:rPr>
        <w:rFonts w:hint="default"/>
      </w:rPr>
    </w:lvl>
    <w:lvl w:ilvl="1" w:tplc="08090019" w:tentative="1">
      <w:start w:val="1"/>
      <w:numFmt w:val="lowerLetter"/>
      <w:lvlText w:val="%2."/>
      <w:lvlJc w:val="left"/>
      <w:pPr>
        <w:tabs>
          <w:tab w:val="num" w:pos="2221"/>
        </w:tabs>
        <w:ind w:left="2221" w:hanging="360"/>
      </w:pPr>
    </w:lvl>
    <w:lvl w:ilvl="2" w:tplc="0809001B" w:tentative="1">
      <w:start w:val="1"/>
      <w:numFmt w:val="lowerRoman"/>
      <w:lvlText w:val="%3."/>
      <w:lvlJc w:val="right"/>
      <w:pPr>
        <w:tabs>
          <w:tab w:val="num" w:pos="2941"/>
        </w:tabs>
        <w:ind w:left="2941" w:hanging="180"/>
      </w:pPr>
    </w:lvl>
    <w:lvl w:ilvl="3" w:tplc="0809000F" w:tentative="1">
      <w:start w:val="1"/>
      <w:numFmt w:val="decimal"/>
      <w:lvlText w:val="%4."/>
      <w:lvlJc w:val="left"/>
      <w:pPr>
        <w:tabs>
          <w:tab w:val="num" w:pos="3661"/>
        </w:tabs>
        <w:ind w:left="3661" w:hanging="360"/>
      </w:pPr>
    </w:lvl>
    <w:lvl w:ilvl="4" w:tplc="08090019" w:tentative="1">
      <w:start w:val="1"/>
      <w:numFmt w:val="lowerLetter"/>
      <w:lvlText w:val="%5."/>
      <w:lvlJc w:val="left"/>
      <w:pPr>
        <w:tabs>
          <w:tab w:val="num" w:pos="4381"/>
        </w:tabs>
        <w:ind w:left="4381" w:hanging="360"/>
      </w:pPr>
    </w:lvl>
    <w:lvl w:ilvl="5" w:tplc="0809001B" w:tentative="1">
      <w:start w:val="1"/>
      <w:numFmt w:val="lowerRoman"/>
      <w:lvlText w:val="%6."/>
      <w:lvlJc w:val="right"/>
      <w:pPr>
        <w:tabs>
          <w:tab w:val="num" w:pos="5101"/>
        </w:tabs>
        <w:ind w:left="5101" w:hanging="180"/>
      </w:pPr>
    </w:lvl>
    <w:lvl w:ilvl="6" w:tplc="0809000F" w:tentative="1">
      <w:start w:val="1"/>
      <w:numFmt w:val="decimal"/>
      <w:lvlText w:val="%7."/>
      <w:lvlJc w:val="left"/>
      <w:pPr>
        <w:tabs>
          <w:tab w:val="num" w:pos="5821"/>
        </w:tabs>
        <w:ind w:left="5821" w:hanging="360"/>
      </w:pPr>
    </w:lvl>
    <w:lvl w:ilvl="7" w:tplc="08090019" w:tentative="1">
      <w:start w:val="1"/>
      <w:numFmt w:val="lowerLetter"/>
      <w:lvlText w:val="%8."/>
      <w:lvlJc w:val="left"/>
      <w:pPr>
        <w:tabs>
          <w:tab w:val="num" w:pos="6541"/>
        </w:tabs>
        <w:ind w:left="6541" w:hanging="360"/>
      </w:pPr>
    </w:lvl>
    <w:lvl w:ilvl="8" w:tplc="0809001B" w:tentative="1">
      <w:start w:val="1"/>
      <w:numFmt w:val="lowerRoman"/>
      <w:lvlText w:val="%9."/>
      <w:lvlJc w:val="right"/>
      <w:pPr>
        <w:tabs>
          <w:tab w:val="num" w:pos="7261"/>
        </w:tabs>
        <w:ind w:left="7261" w:hanging="180"/>
      </w:pPr>
    </w:lvl>
  </w:abstractNum>
  <w:abstractNum w:abstractNumId="21" w15:restartNumberingAfterBreak="0">
    <w:nsid w:val="6A9C3A34"/>
    <w:multiLevelType w:val="hybridMultilevel"/>
    <w:tmpl w:val="700AA2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D0D6C55"/>
    <w:multiLevelType w:val="hybridMultilevel"/>
    <w:tmpl w:val="9A52C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622974"/>
    <w:multiLevelType w:val="multilevel"/>
    <w:tmpl w:val="24565F04"/>
    <w:lvl w:ilvl="0">
      <w:start w:val="4"/>
      <w:numFmt w:val="decimal"/>
      <w:lvlText w:val="%1"/>
      <w:lvlJc w:val="left"/>
      <w:pPr>
        <w:tabs>
          <w:tab w:val="num" w:pos="360"/>
        </w:tabs>
        <w:ind w:left="360" w:hanging="360"/>
      </w:pPr>
      <w:rPr>
        <w:rFonts w:hint="default"/>
      </w:rPr>
    </w:lvl>
    <w:lvl w:ilvl="1">
      <w:start w:val="3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4117299"/>
    <w:multiLevelType w:val="hybridMultilevel"/>
    <w:tmpl w:val="9D1837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8D3981"/>
    <w:multiLevelType w:val="hybridMultilevel"/>
    <w:tmpl w:val="8FE243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5"/>
  </w:num>
  <w:num w:numId="11">
    <w:abstractNumId w:val="1"/>
    <w:lvlOverride w:ilvl="0">
      <w:startOverride w:val="6"/>
    </w:lvlOverride>
    <w:lvlOverride w:ilvl="1">
      <w:startOverride w:val="4"/>
    </w:lvlOverride>
  </w:num>
  <w:num w:numId="12">
    <w:abstractNumId w:val="9"/>
  </w:num>
  <w:num w:numId="13">
    <w:abstractNumId w:val="6"/>
  </w:num>
  <w:num w:numId="14">
    <w:abstractNumId w:val="16"/>
  </w:num>
  <w:num w:numId="15">
    <w:abstractNumId w:val="14"/>
  </w:num>
  <w:num w:numId="16">
    <w:abstractNumId w:val="17"/>
  </w:num>
  <w:num w:numId="17">
    <w:abstractNumId w:val="21"/>
  </w:num>
  <w:num w:numId="18">
    <w:abstractNumId w:val="10"/>
  </w:num>
  <w:num w:numId="19">
    <w:abstractNumId w:val="13"/>
  </w:num>
  <w:num w:numId="20">
    <w:abstractNumId w:val="8"/>
  </w:num>
  <w:num w:numId="21">
    <w:abstractNumId w:val="5"/>
  </w:num>
  <w:num w:numId="22">
    <w:abstractNumId w:val="1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8"/>
  </w:num>
  <w:num w:numId="26">
    <w:abstractNumId w:val="4"/>
  </w:num>
  <w:num w:numId="27">
    <w:abstractNumId w:val="1"/>
    <w:lvlOverride w:ilvl="0">
      <w:startOverride w:val="4"/>
    </w:lvlOverride>
    <w:lvlOverride w:ilvl="1">
      <w:startOverride w:val="11"/>
    </w:lvlOverride>
  </w:num>
  <w:num w:numId="28">
    <w:abstractNumId w:val="1"/>
  </w:num>
  <w:num w:numId="29">
    <w:abstractNumId w:val="1"/>
  </w:num>
  <w:num w:numId="30">
    <w:abstractNumId w:val="1"/>
    <w:lvlOverride w:ilvl="0">
      <w:startOverride w:val="4"/>
    </w:lvlOverride>
    <w:lvlOverride w:ilvl="1">
      <w:startOverride w:val="9"/>
    </w:lvlOverride>
  </w:num>
  <w:num w:numId="31">
    <w:abstractNumId w:val="1"/>
    <w:lvlOverride w:ilvl="0">
      <w:startOverride w:val="4"/>
    </w:lvlOverride>
    <w:lvlOverride w:ilvl="1">
      <w:startOverride w:val="18"/>
    </w:lvlOverride>
  </w:num>
  <w:num w:numId="32">
    <w:abstractNumId w:val="1"/>
    <w:lvlOverride w:ilvl="0">
      <w:startOverride w:val="4"/>
    </w:lvlOverride>
    <w:lvlOverride w:ilvl="1">
      <w:startOverride w:val="28"/>
    </w:lvlOverride>
  </w:num>
  <w:num w:numId="33">
    <w:abstractNumId w:val="1"/>
  </w:num>
  <w:num w:numId="34">
    <w:abstractNumId w:val="19"/>
  </w:num>
  <w:num w:numId="35">
    <w:abstractNumId w:val="25"/>
  </w:num>
  <w:num w:numId="36">
    <w:abstractNumId w:val="3"/>
  </w:num>
  <w:num w:numId="37">
    <w:abstractNumId w:val="23"/>
  </w:num>
  <w:num w:numId="38">
    <w:abstractNumId w:val="2"/>
  </w:num>
  <w:num w:numId="39">
    <w:abstractNumId w:val="20"/>
  </w:num>
  <w:num w:numId="40">
    <w:abstractNumId w:val="1"/>
    <w:lvlOverride w:ilvl="0">
      <w:startOverride w:val="4"/>
    </w:lvlOverride>
    <w:lvlOverride w:ilvl="1">
      <w:startOverride w:val="31"/>
    </w:lvlOverride>
  </w:num>
  <w:num w:numId="41">
    <w:abstractNumId w:val="7"/>
  </w:num>
  <w:num w:numId="42">
    <w:abstractNumId w:val="0"/>
  </w:num>
  <w:num w:numId="43">
    <w:abstractNumId w:val="12"/>
  </w:num>
  <w:num w:numId="44">
    <w:abstractNumId w:val="22"/>
  </w:num>
  <w:num w:numId="45">
    <w:abstractNumId w:val="1"/>
    <w:lvlOverride w:ilvl="0">
      <w:startOverride w:val="4"/>
    </w:lvlOverride>
    <w:lvlOverride w:ilvl="1">
      <w:startOverride w:val="1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21E"/>
    <w:rsid w:val="00002981"/>
    <w:rsid w:val="00010F66"/>
    <w:rsid w:val="0003195C"/>
    <w:rsid w:val="00050049"/>
    <w:rsid w:val="0007754D"/>
    <w:rsid w:val="00085287"/>
    <w:rsid w:val="00087C64"/>
    <w:rsid w:val="00091132"/>
    <w:rsid w:val="00091508"/>
    <w:rsid w:val="000921A9"/>
    <w:rsid w:val="00094B41"/>
    <w:rsid w:val="00095F0B"/>
    <w:rsid w:val="000A5882"/>
    <w:rsid w:val="000C7212"/>
    <w:rsid w:val="000D0845"/>
    <w:rsid w:val="000E0F7B"/>
    <w:rsid w:val="000E5338"/>
    <w:rsid w:val="000F154F"/>
    <w:rsid w:val="00103129"/>
    <w:rsid w:val="001175D1"/>
    <w:rsid w:val="00134942"/>
    <w:rsid w:val="0013521E"/>
    <w:rsid w:val="00137475"/>
    <w:rsid w:val="00145B56"/>
    <w:rsid w:val="00146BB4"/>
    <w:rsid w:val="00146E96"/>
    <w:rsid w:val="0015009E"/>
    <w:rsid w:val="00153123"/>
    <w:rsid w:val="00156EC2"/>
    <w:rsid w:val="00167915"/>
    <w:rsid w:val="0018651D"/>
    <w:rsid w:val="00186AE1"/>
    <w:rsid w:val="001B2F55"/>
    <w:rsid w:val="001B4E8C"/>
    <w:rsid w:val="001E00D1"/>
    <w:rsid w:val="00202094"/>
    <w:rsid w:val="00203BB5"/>
    <w:rsid w:val="00211F5C"/>
    <w:rsid w:val="0022299B"/>
    <w:rsid w:val="002644B8"/>
    <w:rsid w:val="00275B11"/>
    <w:rsid w:val="002876A8"/>
    <w:rsid w:val="00293FA5"/>
    <w:rsid w:val="00296211"/>
    <w:rsid w:val="002B025A"/>
    <w:rsid w:val="002B5C7A"/>
    <w:rsid w:val="002E694E"/>
    <w:rsid w:val="002F7DF1"/>
    <w:rsid w:val="003036FA"/>
    <w:rsid w:val="003066E8"/>
    <w:rsid w:val="0031160E"/>
    <w:rsid w:val="00335DF7"/>
    <w:rsid w:val="00340F64"/>
    <w:rsid w:val="003800F4"/>
    <w:rsid w:val="00386479"/>
    <w:rsid w:val="00394E71"/>
    <w:rsid w:val="003B0076"/>
    <w:rsid w:val="003B7F96"/>
    <w:rsid w:val="003C06CE"/>
    <w:rsid w:val="003C4039"/>
    <w:rsid w:val="003E66E5"/>
    <w:rsid w:val="004018BB"/>
    <w:rsid w:val="00403D0B"/>
    <w:rsid w:val="00415903"/>
    <w:rsid w:val="00417165"/>
    <w:rsid w:val="00430823"/>
    <w:rsid w:val="004314D8"/>
    <w:rsid w:val="00444E88"/>
    <w:rsid w:val="00447D81"/>
    <w:rsid w:val="00450D86"/>
    <w:rsid w:val="00464A25"/>
    <w:rsid w:val="00465275"/>
    <w:rsid w:val="004665ED"/>
    <w:rsid w:val="00471AB1"/>
    <w:rsid w:val="00471CD1"/>
    <w:rsid w:val="00474090"/>
    <w:rsid w:val="00476D91"/>
    <w:rsid w:val="0048193C"/>
    <w:rsid w:val="004826F9"/>
    <w:rsid w:val="0048731E"/>
    <w:rsid w:val="00497537"/>
    <w:rsid w:val="004A5063"/>
    <w:rsid w:val="004C38CF"/>
    <w:rsid w:val="004C4153"/>
    <w:rsid w:val="004C5901"/>
    <w:rsid w:val="004D69D2"/>
    <w:rsid w:val="004E14CB"/>
    <w:rsid w:val="004E626E"/>
    <w:rsid w:val="004E6CB8"/>
    <w:rsid w:val="005006E2"/>
    <w:rsid w:val="0050566E"/>
    <w:rsid w:val="00513060"/>
    <w:rsid w:val="005210FE"/>
    <w:rsid w:val="00531823"/>
    <w:rsid w:val="00537F80"/>
    <w:rsid w:val="0055460F"/>
    <w:rsid w:val="00555552"/>
    <w:rsid w:val="00565653"/>
    <w:rsid w:val="00567063"/>
    <w:rsid w:val="00570FE6"/>
    <w:rsid w:val="0057366C"/>
    <w:rsid w:val="005901A0"/>
    <w:rsid w:val="00595E68"/>
    <w:rsid w:val="005A4023"/>
    <w:rsid w:val="005C39EE"/>
    <w:rsid w:val="005C50A3"/>
    <w:rsid w:val="005D0B1F"/>
    <w:rsid w:val="005D27FE"/>
    <w:rsid w:val="005F24AD"/>
    <w:rsid w:val="006124ED"/>
    <w:rsid w:val="00621585"/>
    <w:rsid w:val="00624514"/>
    <w:rsid w:val="00631CAB"/>
    <w:rsid w:val="00661E5E"/>
    <w:rsid w:val="00670E13"/>
    <w:rsid w:val="006711F2"/>
    <w:rsid w:val="00683178"/>
    <w:rsid w:val="0068363B"/>
    <w:rsid w:val="00685DBB"/>
    <w:rsid w:val="00686C81"/>
    <w:rsid w:val="00691C13"/>
    <w:rsid w:val="006A1D03"/>
    <w:rsid w:val="006E48F7"/>
    <w:rsid w:val="006E7780"/>
    <w:rsid w:val="00725819"/>
    <w:rsid w:val="0076666E"/>
    <w:rsid w:val="00766E86"/>
    <w:rsid w:val="00776249"/>
    <w:rsid w:val="0077733D"/>
    <w:rsid w:val="007801F2"/>
    <w:rsid w:val="00781E7B"/>
    <w:rsid w:val="007840A1"/>
    <w:rsid w:val="007C1758"/>
    <w:rsid w:val="007D0435"/>
    <w:rsid w:val="007E4F2B"/>
    <w:rsid w:val="007E7111"/>
    <w:rsid w:val="008201AE"/>
    <w:rsid w:val="00821381"/>
    <w:rsid w:val="00850CA0"/>
    <w:rsid w:val="008540FE"/>
    <w:rsid w:val="00884826"/>
    <w:rsid w:val="00884E07"/>
    <w:rsid w:val="0088791B"/>
    <w:rsid w:val="008A18CC"/>
    <w:rsid w:val="008A4866"/>
    <w:rsid w:val="008C2EB0"/>
    <w:rsid w:val="008E07C2"/>
    <w:rsid w:val="008F6A2E"/>
    <w:rsid w:val="00934D00"/>
    <w:rsid w:val="00961558"/>
    <w:rsid w:val="009661DB"/>
    <w:rsid w:val="009820E7"/>
    <w:rsid w:val="009821CB"/>
    <w:rsid w:val="009A69D0"/>
    <w:rsid w:val="009C265E"/>
    <w:rsid w:val="009D2226"/>
    <w:rsid w:val="009D61CE"/>
    <w:rsid w:val="009D6F00"/>
    <w:rsid w:val="009E40A2"/>
    <w:rsid w:val="00A10FEC"/>
    <w:rsid w:val="00A35FF3"/>
    <w:rsid w:val="00A37EC4"/>
    <w:rsid w:val="00A46FEC"/>
    <w:rsid w:val="00A47E8E"/>
    <w:rsid w:val="00A55CF1"/>
    <w:rsid w:val="00A561E8"/>
    <w:rsid w:val="00A57A7B"/>
    <w:rsid w:val="00A60334"/>
    <w:rsid w:val="00A62E2A"/>
    <w:rsid w:val="00A72C69"/>
    <w:rsid w:val="00A73FF0"/>
    <w:rsid w:val="00A86082"/>
    <w:rsid w:val="00AA11AB"/>
    <w:rsid w:val="00AA2811"/>
    <w:rsid w:val="00AA58B5"/>
    <w:rsid w:val="00AD0CC9"/>
    <w:rsid w:val="00AE004A"/>
    <w:rsid w:val="00AE5FD9"/>
    <w:rsid w:val="00AE7E2A"/>
    <w:rsid w:val="00AF37CE"/>
    <w:rsid w:val="00B02669"/>
    <w:rsid w:val="00B24108"/>
    <w:rsid w:val="00B320E8"/>
    <w:rsid w:val="00B3770C"/>
    <w:rsid w:val="00B43539"/>
    <w:rsid w:val="00B56A45"/>
    <w:rsid w:val="00B61A21"/>
    <w:rsid w:val="00B61F6E"/>
    <w:rsid w:val="00B76FBF"/>
    <w:rsid w:val="00B84BC4"/>
    <w:rsid w:val="00BA4862"/>
    <w:rsid w:val="00BB1D11"/>
    <w:rsid w:val="00BB3C41"/>
    <w:rsid w:val="00BB4E12"/>
    <w:rsid w:val="00BC4461"/>
    <w:rsid w:val="00BD0363"/>
    <w:rsid w:val="00C03432"/>
    <w:rsid w:val="00C14094"/>
    <w:rsid w:val="00C226B8"/>
    <w:rsid w:val="00C46239"/>
    <w:rsid w:val="00C97242"/>
    <w:rsid w:val="00CA6BB4"/>
    <w:rsid w:val="00CA7E92"/>
    <w:rsid w:val="00CF4D04"/>
    <w:rsid w:val="00CF6A77"/>
    <w:rsid w:val="00CF7C51"/>
    <w:rsid w:val="00D06111"/>
    <w:rsid w:val="00D063F7"/>
    <w:rsid w:val="00D108AA"/>
    <w:rsid w:val="00D24B3F"/>
    <w:rsid w:val="00D32B79"/>
    <w:rsid w:val="00D64302"/>
    <w:rsid w:val="00D65FCF"/>
    <w:rsid w:val="00D66F62"/>
    <w:rsid w:val="00D83A69"/>
    <w:rsid w:val="00D910E2"/>
    <w:rsid w:val="00D94DB6"/>
    <w:rsid w:val="00D95FD8"/>
    <w:rsid w:val="00DA01D6"/>
    <w:rsid w:val="00DA291E"/>
    <w:rsid w:val="00DB2B17"/>
    <w:rsid w:val="00DB78B2"/>
    <w:rsid w:val="00DD7F95"/>
    <w:rsid w:val="00DF66BC"/>
    <w:rsid w:val="00E14044"/>
    <w:rsid w:val="00E17BE0"/>
    <w:rsid w:val="00E43E52"/>
    <w:rsid w:val="00E46710"/>
    <w:rsid w:val="00E5524E"/>
    <w:rsid w:val="00E55D37"/>
    <w:rsid w:val="00E62055"/>
    <w:rsid w:val="00E63A00"/>
    <w:rsid w:val="00E64EA2"/>
    <w:rsid w:val="00E80C6E"/>
    <w:rsid w:val="00E930A1"/>
    <w:rsid w:val="00EA6A82"/>
    <w:rsid w:val="00EC3FC8"/>
    <w:rsid w:val="00ED5B7C"/>
    <w:rsid w:val="00F04C40"/>
    <w:rsid w:val="00F057AB"/>
    <w:rsid w:val="00F07AF7"/>
    <w:rsid w:val="00F127D6"/>
    <w:rsid w:val="00F15C98"/>
    <w:rsid w:val="00F4015E"/>
    <w:rsid w:val="00F45647"/>
    <w:rsid w:val="00F521A2"/>
    <w:rsid w:val="00F54E38"/>
    <w:rsid w:val="00F568B1"/>
    <w:rsid w:val="00F60ECF"/>
    <w:rsid w:val="00F803E9"/>
    <w:rsid w:val="00F83D53"/>
    <w:rsid w:val="00F90D3F"/>
    <w:rsid w:val="00F96D45"/>
    <w:rsid w:val="00FA12B0"/>
    <w:rsid w:val="00FA1C6A"/>
    <w:rsid w:val="00FF6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6625"/>
    <o:shapelayout v:ext="edit">
      <o:idmap v:ext="edit" data="1"/>
    </o:shapelayout>
  </w:shapeDefaults>
  <w:decimalSymbol w:val="."/>
  <w:listSeparator w:val=","/>
  <w14:docId w14:val="114BC916"/>
  <w15:docId w15:val="{6D3B2CC4-7AA7-45E4-83F5-67D8F502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F95"/>
    <w:pPr>
      <w:jc w:val="both"/>
    </w:pPr>
    <w:rPr>
      <w:rFonts w:ascii="Arial" w:hAnsi="Arial"/>
      <w:sz w:val="22"/>
      <w:lang w:eastAsia="en-US"/>
    </w:rPr>
  </w:style>
  <w:style w:type="paragraph" w:styleId="Heading1">
    <w:name w:val="heading 1"/>
    <w:basedOn w:val="Normal"/>
    <w:next w:val="Normal"/>
    <w:qFormat/>
    <w:rsid w:val="00DD7F95"/>
    <w:pPr>
      <w:numPr>
        <w:numId w:val="1"/>
      </w:numPr>
      <w:spacing w:after="240"/>
      <w:ind w:left="720" w:hanging="720"/>
      <w:outlineLvl w:val="0"/>
    </w:pPr>
    <w:rPr>
      <w:b/>
      <w:caps/>
    </w:rPr>
  </w:style>
  <w:style w:type="paragraph" w:styleId="Heading2">
    <w:name w:val="heading 2"/>
    <w:basedOn w:val="Normal"/>
    <w:next w:val="Normal"/>
    <w:link w:val="Heading2Char"/>
    <w:qFormat/>
    <w:rsid w:val="00DD7F95"/>
    <w:pPr>
      <w:numPr>
        <w:ilvl w:val="1"/>
        <w:numId w:val="2"/>
      </w:numPr>
      <w:spacing w:after="240"/>
      <w:ind w:left="720" w:hanging="720"/>
      <w:outlineLvl w:val="1"/>
    </w:pPr>
  </w:style>
  <w:style w:type="paragraph" w:styleId="Heading3">
    <w:name w:val="heading 3"/>
    <w:basedOn w:val="Normal"/>
    <w:next w:val="Normal"/>
    <w:qFormat/>
    <w:rsid w:val="000A5882"/>
    <w:pPr>
      <w:numPr>
        <w:ilvl w:val="2"/>
        <w:numId w:val="3"/>
      </w:numPr>
      <w:spacing w:after="240"/>
      <w:ind w:left="1152" w:hanging="432"/>
      <w:outlineLvl w:val="2"/>
    </w:pPr>
  </w:style>
  <w:style w:type="paragraph" w:styleId="Heading4">
    <w:name w:val="heading 4"/>
    <w:basedOn w:val="Normal"/>
    <w:next w:val="Normal"/>
    <w:qFormat/>
    <w:rsid w:val="00DD7F95"/>
    <w:pPr>
      <w:keepNext/>
      <w:numPr>
        <w:ilvl w:val="3"/>
        <w:numId w:val="4"/>
      </w:numPr>
      <w:spacing w:after="240"/>
      <w:ind w:left="720"/>
      <w:outlineLvl w:val="3"/>
    </w:pPr>
    <w:rPr>
      <w:u w:val="single"/>
    </w:rPr>
  </w:style>
  <w:style w:type="paragraph" w:styleId="Heading5">
    <w:name w:val="heading 5"/>
    <w:basedOn w:val="Normal"/>
    <w:next w:val="Normal"/>
    <w:qFormat/>
    <w:rsid w:val="00DD7F95"/>
    <w:pPr>
      <w:numPr>
        <w:ilvl w:val="4"/>
        <w:numId w:val="5"/>
      </w:numPr>
      <w:spacing w:before="240" w:after="60"/>
      <w:outlineLvl w:val="4"/>
    </w:pPr>
  </w:style>
  <w:style w:type="paragraph" w:styleId="Heading6">
    <w:name w:val="heading 6"/>
    <w:basedOn w:val="Normal"/>
    <w:next w:val="Normal"/>
    <w:qFormat/>
    <w:rsid w:val="00DD7F95"/>
    <w:pPr>
      <w:numPr>
        <w:ilvl w:val="5"/>
        <w:numId w:val="6"/>
      </w:numPr>
      <w:spacing w:before="240" w:after="60"/>
      <w:outlineLvl w:val="5"/>
    </w:pPr>
    <w:rPr>
      <w:i/>
    </w:rPr>
  </w:style>
  <w:style w:type="paragraph" w:styleId="Heading7">
    <w:name w:val="heading 7"/>
    <w:basedOn w:val="Normal"/>
    <w:next w:val="Normal"/>
    <w:qFormat/>
    <w:rsid w:val="00DD7F95"/>
    <w:pPr>
      <w:numPr>
        <w:ilvl w:val="6"/>
        <w:numId w:val="7"/>
      </w:numPr>
      <w:spacing w:before="240" w:after="60"/>
      <w:outlineLvl w:val="6"/>
    </w:pPr>
  </w:style>
  <w:style w:type="paragraph" w:styleId="Heading8">
    <w:name w:val="heading 8"/>
    <w:basedOn w:val="Normal"/>
    <w:next w:val="Normal"/>
    <w:qFormat/>
    <w:rsid w:val="00DD7F95"/>
    <w:pPr>
      <w:numPr>
        <w:ilvl w:val="7"/>
        <w:numId w:val="8"/>
      </w:numPr>
      <w:spacing w:before="240" w:after="60"/>
      <w:outlineLvl w:val="7"/>
    </w:pPr>
    <w:rPr>
      <w:i/>
    </w:rPr>
  </w:style>
  <w:style w:type="paragraph" w:styleId="Heading9">
    <w:name w:val="heading 9"/>
    <w:basedOn w:val="Normal"/>
    <w:next w:val="Normal"/>
    <w:qFormat/>
    <w:rsid w:val="00DD7F95"/>
    <w:pPr>
      <w:numPr>
        <w:ilvl w:val="8"/>
        <w:numId w:val="9"/>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D7F95"/>
    <w:pPr>
      <w:tabs>
        <w:tab w:val="center" w:pos="4153"/>
        <w:tab w:val="right" w:pos="8306"/>
      </w:tabs>
    </w:pPr>
  </w:style>
  <w:style w:type="paragraph" w:styleId="Header">
    <w:name w:val="header"/>
    <w:basedOn w:val="Normal"/>
    <w:rsid w:val="00DD7F95"/>
    <w:pPr>
      <w:tabs>
        <w:tab w:val="center" w:pos="4153"/>
        <w:tab w:val="right" w:pos="8306"/>
      </w:tabs>
    </w:pPr>
  </w:style>
  <w:style w:type="paragraph" w:styleId="NormalIndent">
    <w:name w:val="Normal Indent"/>
    <w:link w:val="NormalIndentChar"/>
    <w:rsid w:val="00DD7F95"/>
    <w:pPr>
      <w:ind w:left="720"/>
      <w:jc w:val="both"/>
    </w:pPr>
    <w:rPr>
      <w:rFonts w:ascii="Arial" w:hAnsi="Arial"/>
      <w:sz w:val="22"/>
      <w:lang w:eastAsia="en-US"/>
    </w:rPr>
  </w:style>
  <w:style w:type="character" w:styleId="PageNumber">
    <w:name w:val="page number"/>
    <w:basedOn w:val="DefaultParagraphFont"/>
    <w:rsid w:val="00DD7F95"/>
  </w:style>
  <w:style w:type="paragraph" w:customStyle="1" w:styleId="DQBodyTextIndent">
    <w:name w:val="DQBody Text Indent"/>
    <w:basedOn w:val="BodyTextIndent"/>
    <w:rsid w:val="00DD7F95"/>
    <w:pPr>
      <w:spacing w:line="216" w:lineRule="auto"/>
      <w:ind w:left="0"/>
      <w:jc w:val="left"/>
    </w:pPr>
    <w:rPr>
      <w:rFonts w:ascii="Arial Narrow" w:hAnsi="Arial Narrow"/>
    </w:rPr>
  </w:style>
  <w:style w:type="paragraph" w:styleId="BodyTextIndent">
    <w:name w:val="Body Text Indent"/>
    <w:basedOn w:val="Normal"/>
    <w:rsid w:val="00DD7F95"/>
    <w:pPr>
      <w:spacing w:after="120"/>
      <w:ind w:left="283"/>
    </w:pPr>
  </w:style>
  <w:style w:type="paragraph" w:customStyle="1" w:styleId="DQHeader">
    <w:name w:val="DQHeader"/>
    <w:basedOn w:val="Header"/>
    <w:rsid w:val="00DD7F95"/>
    <w:pPr>
      <w:tabs>
        <w:tab w:val="clear" w:pos="4153"/>
        <w:tab w:val="clear" w:pos="8306"/>
        <w:tab w:val="left" w:pos="5040"/>
        <w:tab w:val="right" w:pos="10800"/>
      </w:tabs>
      <w:spacing w:before="120" w:after="120"/>
      <w:jc w:val="left"/>
    </w:pPr>
    <w:rPr>
      <w:rFonts w:ascii="Arial Narrow" w:hAnsi="Arial Narrow"/>
      <w:b/>
      <w:sz w:val="28"/>
    </w:rPr>
  </w:style>
  <w:style w:type="paragraph" w:customStyle="1" w:styleId="DQHeading1">
    <w:name w:val="DQHeading1"/>
    <w:basedOn w:val="Heading1"/>
    <w:rsid w:val="00DD7F95"/>
    <w:pPr>
      <w:keepNext/>
      <w:numPr>
        <w:numId w:val="0"/>
      </w:numPr>
      <w:spacing w:after="120"/>
      <w:ind w:left="57"/>
      <w:jc w:val="left"/>
    </w:pPr>
    <w:rPr>
      <w:rFonts w:ascii="Haettenschweiler" w:hAnsi="Haettenschweiler"/>
      <w:b w:val="0"/>
      <w:color w:val="FFFFFF"/>
      <w:kern w:val="28"/>
      <w:sz w:val="36"/>
    </w:rPr>
  </w:style>
  <w:style w:type="paragraph" w:customStyle="1" w:styleId="DQHeading1U">
    <w:name w:val="DQHeading1U"/>
    <w:basedOn w:val="Heading1"/>
    <w:rsid w:val="00DD7F95"/>
    <w:pPr>
      <w:keepNext/>
      <w:numPr>
        <w:numId w:val="0"/>
      </w:numPr>
      <w:pBdr>
        <w:bottom w:val="single" w:sz="4" w:space="1" w:color="FFFFFF"/>
      </w:pBdr>
      <w:spacing w:after="120"/>
      <w:ind w:left="57" w:right="57"/>
      <w:jc w:val="left"/>
    </w:pPr>
    <w:rPr>
      <w:rFonts w:ascii="Haettenschweiler" w:hAnsi="Haettenschweiler"/>
      <w:b w:val="0"/>
      <w:color w:val="FFFFFF"/>
      <w:kern w:val="28"/>
      <w:sz w:val="36"/>
    </w:rPr>
  </w:style>
  <w:style w:type="paragraph" w:customStyle="1" w:styleId="DQHeading2">
    <w:name w:val="DQHeading2"/>
    <w:basedOn w:val="Heading1"/>
    <w:rsid w:val="00DD7F95"/>
    <w:pPr>
      <w:keepNext/>
      <w:numPr>
        <w:numId w:val="0"/>
      </w:numPr>
      <w:pBdr>
        <w:top w:val="single" w:sz="4" w:space="1" w:color="auto"/>
        <w:bottom w:val="single" w:sz="4" w:space="1" w:color="auto"/>
      </w:pBdr>
      <w:spacing w:after="120"/>
      <w:ind w:left="57" w:right="57"/>
      <w:jc w:val="left"/>
    </w:pPr>
    <w:rPr>
      <w:rFonts w:ascii="Haettenschweiler" w:hAnsi="Haettenschweiler"/>
      <w:b w:val="0"/>
      <w:kern w:val="28"/>
      <w:sz w:val="36"/>
    </w:rPr>
  </w:style>
  <w:style w:type="paragraph" w:customStyle="1" w:styleId="DQHeading3">
    <w:name w:val="DQHeading3"/>
    <w:basedOn w:val="Heading1"/>
    <w:rsid w:val="00DD7F95"/>
    <w:pPr>
      <w:keepNext/>
      <w:numPr>
        <w:numId w:val="0"/>
      </w:numPr>
      <w:pBdr>
        <w:top w:val="single" w:sz="4" w:space="1" w:color="auto"/>
        <w:bottom w:val="single" w:sz="4" w:space="1" w:color="auto"/>
      </w:pBdr>
      <w:spacing w:after="120"/>
      <w:jc w:val="left"/>
    </w:pPr>
    <w:rPr>
      <w:rFonts w:ascii="Haettenschweiler" w:hAnsi="Haettenschweiler"/>
      <w:b w:val="0"/>
      <w:kern w:val="28"/>
      <w:sz w:val="36"/>
    </w:rPr>
  </w:style>
  <w:style w:type="paragraph" w:customStyle="1" w:styleId="DQHeading4">
    <w:name w:val="DQHeading4"/>
    <w:basedOn w:val="Heading2"/>
    <w:rsid w:val="00DD7F95"/>
    <w:pPr>
      <w:keepNext/>
      <w:numPr>
        <w:ilvl w:val="0"/>
        <w:numId w:val="0"/>
      </w:numPr>
      <w:tabs>
        <w:tab w:val="left" w:pos="-1440"/>
        <w:tab w:val="left" w:pos="-720"/>
        <w:tab w:val="left" w:pos="1008"/>
        <w:tab w:val="left" w:pos="4032"/>
      </w:tabs>
      <w:suppressAutoHyphens/>
      <w:spacing w:after="120"/>
      <w:jc w:val="left"/>
    </w:pPr>
    <w:rPr>
      <w:rFonts w:ascii="Haettenschweiler" w:hAnsi="Haettenschweiler"/>
      <w:spacing w:val="-2"/>
      <w:sz w:val="32"/>
    </w:rPr>
  </w:style>
  <w:style w:type="paragraph" w:customStyle="1" w:styleId="DQInfoBox">
    <w:name w:val="DQInfo Box"/>
    <w:basedOn w:val="Normal"/>
    <w:rsid w:val="00DD7F95"/>
    <w:pPr>
      <w:tabs>
        <w:tab w:val="left" w:pos="993"/>
      </w:tabs>
      <w:ind w:left="57" w:right="57"/>
      <w:jc w:val="left"/>
    </w:pPr>
    <w:rPr>
      <w:rFonts w:ascii="Arial Narrow" w:hAnsi="Arial Narrow"/>
      <w:b/>
      <w:sz w:val="20"/>
    </w:rPr>
  </w:style>
  <w:style w:type="paragraph" w:customStyle="1" w:styleId="DQInfoBox2">
    <w:name w:val="DQInfo Box2"/>
    <w:basedOn w:val="Normal"/>
    <w:rsid w:val="00DD7F95"/>
    <w:pPr>
      <w:tabs>
        <w:tab w:val="left" w:pos="993"/>
      </w:tabs>
      <w:spacing w:before="120" w:after="120"/>
      <w:ind w:left="57" w:right="57"/>
      <w:jc w:val="left"/>
    </w:pPr>
    <w:rPr>
      <w:rFonts w:ascii="Arial Narrow" w:hAnsi="Arial Narrow"/>
      <w:sz w:val="20"/>
    </w:rPr>
  </w:style>
  <w:style w:type="paragraph" w:customStyle="1" w:styleId="DQNormal">
    <w:name w:val="DQNormal"/>
    <w:basedOn w:val="Normal"/>
    <w:rsid w:val="00DD7F95"/>
    <w:pPr>
      <w:spacing w:after="120"/>
    </w:pPr>
    <w:rPr>
      <w:rFonts w:ascii="Times New Roman" w:hAnsi="Times New Roman"/>
      <w:sz w:val="20"/>
    </w:rPr>
  </w:style>
  <w:style w:type="paragraph" w:customStyle="1" w:styleId="DQRecText">
    <w:name w:val="DQRec Text"/>
    <w:basedOn w:val="BodyText"/>
    <w:rsid w:val="00DD7F95"/>
    <w:pPr>
      <w:ind w:left="57"/>
      <w:jc w:val="left"/>
    </w:pPr>
    <w:rPr>
      <w:rFonts w:ascii="Arial Narrow" w:hAnsi="Arial Narrow"/>
      <w:color w:val="FFFFFF"/>
      <w:sz w:val="24"/>
    </w:rPr>
  </w:style>
  <w:style w:type="paragraph" w:styleId="BodyText">
    <w:name w:val="Body Text"/>
    <w:basedOn w:val="Normal"/>
    <w:rsid w:val="00DD7F95"/>
    <w:pPr>
      <w:spacing w:after="120"/>
    </w:pPr>
  </w:style>
  <w:style w:type="paragraph" w:customStyle="1" w:styleId="DQSummaryText">
    <w:name w:val="DQSummary Text"/>
    <w:basedOn w:val="BodyText"/>
    <w:rsid w:val="00DD7F95"/>
    <w:pPr>
      <w:numPr>
        <w:numId w:val="10"/>
      </w:numPr>
      <w:tabs>
        <w:tab w:val="clear" w:pos="360"/>
        <w:tab w:val="num" w:pos="417"/>
      </w:tabs>
      <w:ind w:left="414" w:right="210" w:hanging="357"/>
      <w:jc w:val="left"/>
    </w:pPr>
    <w:rPr>
      <w:rFonts w:ascii="Arial Narrow" w:hAnsi="Arial Narrow"/>
      <w:sz w:val="24"/>
    </w:rPr>
  </w:style>
  <w:style w:type="paragraph" w:customStyle="1" w:styleId="DQTitle">
    <w:name w:val="DQTitle"/>
    <w:basedOn w:val="BodyText"/>
    <w:rsid w:val="00DD7F95"/>
    <w:pPr>
      <w:spacing w:after="0" w:line="216" w:lineRule="auto"/>
      <w:jc w:val="left"/>
    </w:pPr>
    <w:rPr>
      <w:rFonts w:ascii="Haettenschweiler" w:hAnsi="Haettenschweiler"/>
      <w:sz w:val="72"/>
    </w:rPr>
  </w:style>
  <w:style w:type="table" w:styleId="TableGrid">
    <w:name w:val="Table Grid"/>
    <w:basedOn w:val="TableNormal"/>
    <w:rsid w:val="00F96D4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21381"/>
    <w:rPr>
      <w:rFonts w:ascii="Arial" w:hAnsi="Arial"/>
      <w:sz w:val="22"/>
      <w:lang w:val="en-GB" w:eastAsia="en-US" w:bidi="ar-SA"/>
    </w:rPr>
  </w:style>
  <w:style w:type="character" w:customStyle="1" w:styleId="NormalIndentChar">
    <w:name w:val="Normal Indent Char"/>
    <w:link w:val="NormalIndent"/>
    <w:rsid w:val="00821381"/>
    <w:rPr>
      <w:rFonts w:ascii="Arial" w:hAnsi="Arial"/>
      <w:sz w:val="22"/>
      <w:lang w:val="en-GB" w:eastAsia="en-US" w:bidi="ar-SA"/>
    </w:rPr>
  </w:style>
  <w:style w:type="paragraph" w:styleId="BodyTextIndent2">
    <w:name w:val="Body Text Indent 2"/>
    <w:basedOn w:val="Normal"/>
    <w:semiHidden/>
    <w:rsid w:val="00D64302"/>
    <w:pPr>
      <w:ind w:left="720" w:hanging="720"/>
    </w:pPr>
  </w:style>
  <w:style w:type="paragraph" w:styleId="BodyTextIndent3">
    <w:name w:val="Body Text Indent 3"/>
    <w:basedOn w:val="Normal"/>
    <w:semiHidden/>
    <w:rsid w:val="00D64302"/>
    <w:pPr>
      <w:ind w:left="2160" w:hanging="2160"/>
    </w:pPr>
    <w:rPr>
      <w:b/>
    </w:rPr>
  </w:style>
  <w:style w:type="paragraph" w:styleId="BalloonText">
    <w:name w:val="Balloon Text"/>
    <w:basedOn w:val="Normal"/>
    <w:semiHidden/>
    <w:rsid w:val="00D64302"/>
    <w:rPr>
      <w:rFonts w:ascii="Tahoma" w:hAnsi="Tahoma" w:cs="Tahoma"/>
      <w:sz w:val="16"/>
      <w:szCs w:val="16"/>
    </w:rPr>
  </w:style>
  <w:style w:type="paragraph" w:customStyle="1" w:styleId="summarydetail">
    <w:name w:val="summary detail"/>
    <w:basedOn w:val="Normal"/>
    <w:qFormat/>
    <w:rsid w:val="00D64302"/>
    <w:pPr>
      <w:spacing w:before="60" w:after="60"/>
      <w:ind w:left="3402"/>
      <w:jc w:val="left"/>
    </w:pPr>
    <w:rPr>
      <w:rFonts w:ascii="Helvetica" w:eastAsia="Times" w:hAnsi="Helvetica"/>
      <w:sz w:val="24"/>
      <w:lang w:eastAsia="en-GB"/>
    </w:rPr>
  </w:style>
  <w:style w:type="paragraph" w:customStyle="1" w:styleId="Bulletedlist1">
    <w:name w:val="Bulleted list 1"/>
    <w:basedOn w:val="Normal"/>
    <w:qFormat/>
    <w:rsid w:val="00D64302"/>
    <w:pPr>
      <w:numPr>
        <w:numId w:val="21"/>
      </w:numPr>
      <w:spacing w:before="120" w:after="120"/>
      <w:jc w:val="left"/>
    </w:pPr>
    <w:rPr>
      <w:rFonts w:ascii="Helvetica" w:eastAsia="Times" w:hAnsi="Helvetica"/>
      <w:sz w:val="24"/>
      <w:lang w:eastAsia="en-GB"/>
    </w:rPr>
  </w:style>
  <w:style w:type="paragraph" w:styleId="NormalWeb">
    <w:name w:val="Normal (Web)"/>
    <w:basedOn w:val="Normal"/>
    <w:semiHidden/>
    <w:rsid w:val="00D64302"/>
    <w:pPr>
      <w:spacing w:before="100" w:beforeAutospacing="1" w:after="100" w:afterAutospacing="1"/>
      <w:jc w:val="left"/>
    </w:pPr>
    <w:rPr>
      <w:rFonts w:ascii="Times New Roman" w:hAnsi="Times New Roman"/>
      <w:sz w:val="24"/>
      <w:szCs w:val="24"/>
      <w:lang w:eastAsia="en-GB"/>
    </w:rPr>
  </w:style>
  <w:style w:type="paragraph" w:styleId="BodyText2">
    <w:name w:val="Body Text 2"/>
    <w:basedOn w:val="Normal"/>
    <w:semiHidden/>
    <w:unhideWhenUsed/>
    <w:rsid w:val="00D64302"/>
    <w:pPr>
      <w:spacing w:after="120" w:line="480" w:lineRule="auto"/>
    </w:pPr>
  </w:style>
  <w:style w:type="character" w:customStyle="1" w:styleId="BodyText2Char">
    <w:name w:val="Body Text 2 Char"/>
    <w:semiHidden/>
    <w:rsid w:val="00D64302"/>
    <w:rPr>
      <w:rFonts w:ascii="Arial" w:hAnsi="Arial"/>
      <w:sz w:val="22"/>
      <w:lang w:eastAsia="en-US"/>
    </w:rPr>
  </w:style>
  <w:style w:type="paragraph" w:styleId="BodyText3">
    <w:name w:val="Body Text 3"/>
    <w:basedOn w:val="Normal"/>
    <w:semiHidden/>
    <w:unhideWhenUsed/>
    <w:rsid w:val="00D64302"/>
    <w:pPr>
      <w:spacing w:after="120"/>
    </w:pPr>
    <w:rPr>
      <w:sz w:val="16"/>
      <w:szCs w:val="16"/>
    </w:rPr>
  </w:style>
  <w:style w:type="character" w:customStyle="1" w:styleId="BodyText3Char">
    <w:name w:val="Body Text 3 Char"/>
    <w:semiHidden/>
    <w:rsid w:val="00D64302"/>
    <w:rPr>
      <w:rFonts w:ascii="Arial" w:hAnsi="Arial"/>
      <w:sz w:val="16"/>
      <w:szCs w:val="16"/>
      <w:lang w:eastAsia="en-US"/>
    </w:rPr>
  </w:style>
  <w:style w:type="paragraph" w:styleId="ListParagraph">
    <w:name w:val="List Paragraph"/>
    <w:basedOn w:val="Normal"/>
    <w:qFormat/>
    <w:rsid w:val="00D64302"/>
    <w:pPr>
      <w:ind w:left="720"/>
    </w:pPr>
  </w:style>
  <w:style w:type="character" w:styleId="Hyperlink">
    <w:name w:val="Hyperlink"/>
    <w:semiHidden/>
    <w:rsid w:val="00D64302"/>
    <w:rPr>
      <w:color w:val="0000FF"/>
      <w:u w:val="single"/>
    </w:rPr>
  </w:style>
  <w:style w:type="character" w:styleId="FollowedHyperlink">
    <w:name w:val="FollowedHyperlink"/>
    <w:semiHidden/>
    <w:rsid w:val="00D64302"/>
    <w:rPr>
      <w:color w:val="800080"/>
      <w:u w:val="single"/>
    </w:rPr>
  </w:style>
  <w:style w:type="paragraph" w:styleId="ListBullet">
    <w:name w:val="List Bullet"/>
    <w:basedOn w:val="Normal"/>
    <w:rsid w:val="00296211"/>
    <w:pPr>
      <w:numPr>
        <w:numId w:val="42"/>
      </w:numPr>
      <w:jc w:val="left"/>
    </w:pPr>
    <w:rPr>
      <w:sz w:val="23"/>
    </w:rPr>
  </w:style>
  <w:style w:type="character" w:styleId="CommentReference">
    <w:name w:val="annotation reference"/>
    <w:basedOn w:val="DefaultParagraphFont"/>
    <w:uiPriority w:val="99"/>
    <w:semiHidden/>
    <w:unhideWhenUsed/>
    <w:rsid w:val="00BA4862"/>
    <w:rPr>
      <w:sz w:val="16"/>
      <w:szCs w:val="16"/>
    </w:rPr>
  </w:style>
  <w:style w:type="paragraph" w:styleId="CommentText">
    <w:name w:val="annotation text"/>
    <w:basedOn w:val="Normal"/>
    <w:link w:val="CommentTextChar"/>
    <w:uiPriority w:val="99"/>
    <w:semiHidden/>
    <w:unhideWhenUsed/>
    <w:rsid w:val="00BA4862"/>
    <w:rPr>
      <w:sz w:val="20"/>
    </w:rPr>
  </w:style>
  <w:style w:type="character" w:customStyle="1" w:styleId="CommentTextChar">
    <w:name w:val="Comment Text Char"/>
    <w:basedOn w:val="DefaultParagraphFont"/>
    <w:link w:val="CommentText"/>
    <w:uiPriority w:val="99"/>
    <w:semiHidden/>
    <w:rsid w:val="00BA486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A4862"/>
    <w:rPr>
      <w:b/>
      <w:bCs/>
    </w:rPr>
  </w:style>
  <w:style w:type="character" w:customStyle="1" w:styleId="CommentSubjectChar">
    <w:name w:val="Comment Subject Char"/>
    <w:basedOn w:val="CommentTextChar"/>
    <w:link w:val="CommentSubject"/>
    <w:uiPriority w:val="99"/>
    <w:semiHidden/>
    <w:rsid w:val="00BA4862"/>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13896">
      <w:bodyDiv w:val="1"/>
      <w:marLeft w:val="0"/>
      <w:marRight w:val="0"/>
      <w:marTop w:val="0"/>
      <w:marBottom w:val="0"/>
      <w:divBdr>
        <w:top w:val="none" w:sz="0" w:space="0" w:color="auto"/>
        <w:left w:val="none" w:sz="0" w:space="0" w:color="auto"/>
        <w:bottom w:val="none" w:sz="0" w:space="0" w:color="auto"/>
        <w:right w:val="none" w:sz="0" w:space="0" w:color="auto"/>
      </w:divBdr>
    </w:div>
    <w:div w:id="301278593">
      <w:bodyDiv w:val="1"/>
      <w:marLeft w:val="0"/>
      <w:marRight w:val="0"/>
      <w:marTop w:val="0"/>
      <w:marBottom w:val="0"/>
      <w:divBdr>
        <w:top w:val="none" w:sz="0" w:space="0" w:color="auto"/>
        <w:left w:val="none" w:sz="0" w:space="0" w:color="auto"/>
        <w:bottom w:val="none" w:sz="0" w:space="0" w:color="auto"/>
        <w:right w:val="none" w:sz="0" w:space="0" w:color="auto"/>
      </w:divBdr>
      <w:divsChild>
        <w:div w:id="113212188">
          <w:marLeft w:val="0"/>
          <w:marRight w:val="0"/>
          <w:marTop w:val="0"/>
          <w:marBottom w:val="0"/>
          <w:divBdr>
            <w:top w:val="none" w:sz="0" w:space="0" w:color="auto"/>
            <w:left w:val="none" w:sz="0" w:space="0" w:color="auto"/>
            <w:bottom w:val="none" w:sz="0" w:space="0" w:color="auto"/>
            <w:right w:val="none" w:sz="0" w:space="0" w:color="auto"/>
          </w:divBdr>
          <w:divsChild>
            <w:div w:id="1079597950">
              <w:marLeft w:val="0"/>
              <w:marRight w:val="0"/>
              <w:marTop w:val="0"/>
              <w:marBottom w:val="0"/>
              <w:divBdr>
                <w:top w:val="none" w:sz="0" w:space="0" w:color="auto"/>
                <w:left w:val="none" w:sz="0" w:space="0" w:color="auto"/>
                <w:bottom w:val="none" w:sz="0" w:space="0" w:color="auto"/>
                <w:right w:val="none" w:sz="0" w:space="0" w:color="auto"/>
              </w:divBdr>
              <w:divsChild>
                <w:div w:id="387581904">
                  <w:marLeft w:val="0"/>
                  <w:marRight w:val="0"/>
                  <w:marTop w:val="0"/>
                  <w:marBottom w:val="0"/>
                  <w:divBdr>
                    <w:top w:val="none" w:sz="0" w:space="0" w:color="auto"/>
                    <w:left w:val="none" w:sz="0" w:space="0" w:color="auto"/>
                    <w:bottom w:val="none" w:sz="0" w:space="0" w:color="auto"/>
                    <w:right w:val="none" w:sz="0" w:space="0" w:color="auto"/>
                  </w:divBdr>
                  <w:divsChild>
                    <w:div w:id="116459207">
                      <w:marLeft w:val="0"/>
                      <w:marRight w:val="0"/>
                      <w:marTop w:val="0"/>
                      <w:marBottom w:val="0"/>
                      <w:divBdr>
                        <w:top w:val="none" w:sz="0" w:space="0" w:color="auto"/>
                        <w:left w:val="none" w:sz="0" w:space="0" w:color="auto"/>
                        <w:bottom w:val="none" w:sz="0" w:space="0" w:color="auto"/>
                        <w:right w:val="none" w:sz="0" w:space="0" w:color="auto"/>
                      </w:divBdr>
                      <w:divsChild>
                        <w:div w:id="719129067">
                          <w:marLeft w:val="0"/>
                          <w:marRight w:val="0"/>
                          <w:marTop w:val="0"/>
                          <w:marBottom w:val="0"/>
                          <w:divBdr>
                            <w:top w:val="none" w:sz="0" w:space="0" w:color="auto"/>
                            <w:left w:val="none" w:sz="0" w:space="0" w:color="auto"/>
                            <w:bottom w:val="none" w:sz="0" w:space="0" w:color="auto"/>
                            <w:right w:val="none" w:sz="0" w:space="0" w:color="auto"/>
                          </w:divBdr>
                          <w:divsChild>
                            <w:div w:id="582836685">
                              <w:marLeft w:val="0"/>
                              <w:marRight w:val="0"/>
                              <w:marTop w:val="0"/>
                              <w:marBottom w:val="0"/>
                              <w:divBdr>
                                <w:top w:val="none" w:sz="0" w:space="0" w:color="auto"/>
                                <w:left w:val="none" w:sz="0" w:space="0" w:color="auto"/>
                                <w:bottom w:val="none" w:sz="0" w:space="0" w:color="auto"/>
                                <w:right w:val="none" w:sz="0" w:space="0" w:color="auto"/>
                              </w:divBdr>
                              <w:divsChild>
                                <w:div w:id="2075928319">
                                  <w:marLeft w:val="0"/>
                                  <w:marRight w:val="0"/>
                                  <w:marTop w:val="0"/>
                                  <w:marBottom w:val="0"/>
                                  <w:divBdr>
                                    <w:top w:val="none" w:sz="0" w:space="0" w:color="auto"/>
                                    <w:left w:val="none" w:sz="0" w:space="0" w:color="auto"/>
                                    <w:bottom w:val="none" w:sz="0" w:space="0" w:color="auto"/>
                                    <w:right w:val="none" w:sz="0" w:space="0" w:color="auto"/>
                                  </w:divBdr>
                                  <w:divsChild>
                                    <w:div w:id="720059536">
                                      <w:marLeft w:val="0"/>
                                      <w:marRight w:val="0"/>
                                      <w:marTop w:val="0"/>
                                      <w:marBottom w:val="0"/>
                                      <w:divBdr>
                                        <w:top w:val="none" w:sz="0" w:space="0" w:color="auto"/>
                                        <w:left w:val="none" w:sz="0" w:space="0" w:color="auto"/>
                                        <w:bottom w:val="none" w:sz="0" w:space="0" w:color="auto"/>
                                        <w:right w:val="none" w:sz="0" w:space="0" w:color="auto"/>
                                      </w:divBdr>
                                      <w:divsChild>
                                        <w:div w:id="1974632104">
                                          <w:marLeft w:val="0"/>
                                          <w:marRight w:val="0"/>
                                          <w:marTop w:val="0"/>
                                          <w:marBottom w:val="0"/>
                                          <w:divBdr>
                                            <w:top w:val="none" w:sz="0" w:space="0" w:color="auto"/>
                                            <w:left w:val="none" w:sz="0" w:space="0" w:color="auto"/>
                                            <w:bottom w:val="none" w:sz="0" w:space="0" w:color="auto"/>
                                            <w:right w:val="none" w:sz="0" w:space="0" w:color="auto"/>
                                          </w:divBdr>
                                          <w:divsChild>
                                            <w:div w:id="1035694091">
                                              <w:marLeft w:val="0"/>
                                              <w:marRight w:val="0"/>
                                              <w:marTop w:val="0"/>
                                              <w:marBottom w:val="0"/>
                                              <w:divBdr>
                                                <w:top w:val="none" w:sz="0" w:space="0" w:color="auto"/>
                                                <w:left w:val="none" w:sz="0" w:space="0" w:color="auto"/>
                                                <w:bottom w:val="none" w:sz="0" w:space="0" w:color="auto"/>
                                                <w:right w:val="none" w:sz="0" w:space="0" w:color="auto"/>
                                              </w:divBdr>
                                              <w:divsChild>
                                                <w:div w:id="2052797765">
                                                  <w:marLeft w:val="0"/>
                                                  <w:marRight w:val="0"/>
                                                  <w:marTop w:val="0"/>
                                                  <w:marBottom w:val="0"/>
                                                  <w:divBdr>
                                                    <w:top w:val="none" w:sz="0" w:space="0" w:color="auto"/>
                                                    <w:left w:val="none" w:sz="0" w:space="0" w:color="auto"/>
                                                    <w:bottom w:val="none" w:sz="0" w:space="0" w:color="auto"/>
                                                    <w:right w:val="none" w:sz="0" w:space="0" w:color="auto"/>
                                                  </w:divBdr>
                                                  <w:divsChild>
                                                    <w:div w:id="954095048">
                                                      <w:marLeft w:val="0"/>
                                                      <w:marRight w:val="0"/>
                                                      <w:marTop w:val="0"/>
                                                      <w:marBottom w:val="0"/>
                                                      <w:divBdr>
                                                        <w:top w:val="none" w:sz="0" w:space="0" w:color="auto"/>
                                                        <w:left w:val="none" w:sz="0" w:space="0" w:color="auto"/>
                                                        <w:bottom w:val="none" w:sz="0" w:space="0" w:color="auto"/>
                                                        <w:right w:val="none" w:sz="0" w:space="0" w:color="auto"/>
                                                      </w:divBdr>
                                                      <w:divsChild>
                                                        <w:div w:id="675884480">
                                                          <w:marLeft w:val="0"/>
                                                          <w:marRight w:val="0"/>
                                                          <w:marTop w:val="0"/>
                                                          <w:marBottom w:val="0"/>
                                                          <w:divBdr>
                                                            <w:top w:val="none" w:sz="0" w:space="0" w:color="auto"/>
                                                            <w:left w:val="none" w:sz="0" w:space="0" w:color="auto"/>
                                                            <w:bottom w:val="none" w:sz="0" w:space="0" w:color="auto"/>
                                                            <w:right w:val="none" w:sz="0" w:space="0" w:color="auto"/>
                                                          </w:divBdr>
                                                          <w:divsChild>
                                                            <w:div w:id="1413355860">
                                                              <w:marLeft w:val="0"/>
                                                              <w:marRight w:val="0"/>
                                                              <w:marTop w:val="0"/>
                                                              <w:marBottom w:val="0"/>
                                                              <w:divBdr>
                                                                <w:top w:val="none" w:sz="0" w:space="0" w:color="auto"/>
                                                                <w:left w:val="none" w:sz="0" w:space="0" w:color="auto"/>
                                                                <w:bottom w:val="none" w:sz="0" w:space="0" w:color="auto"/>
                                                                <w:right w:val="none" w:sz="0" w:space="0" w:color="auto"/>
                                                              </w:divBdr>
                                                              <w:divsChild>
                                                                <w:div w:id="1674526660">
                                                                  <w:marLeft w:val="0"/>
                                                                  <w:marRight w:val="0"/>
                                                                  <w:marTop w:val="0"/>
                                                                  <w:marBottom w:val="0"/>
                                                                  <w:divBdr>
                                                                    <w:top w:val="none" w:sz="0" w:space="0" w:color="auto"/>
                                                                    <w:left w:val="none" w:sz="0" w:space="0" w:color="auto"/>
                                                                    <w:bottom w:val="none" w:sz="0" w:space="0" w:color="auto"/>
                                                                    <w:right w:val="none" w:sz="0" w:space="0" w:color="auto"/>
                                                                  </w:divBdr>
                                                                  <w:divsChild>
                                                                    <w:div w:id="1297443116">
                                                                      <w:marLeft w:val="0"/>
                                                                      <w:marRight w:val="0"/>
                                                                      <w:marTop w:val="0"/>
                                                                      <w:marBottom w:val="0"/>
                                                                      <w:divBdr>
                                                                        <w:top w:val="none" w:sz="0" w:space="0" w:color="auto"/>
                                                                        <w:left w:val="none" w:sz="0" w:space="0" w:color="auto"/>
                                                                        <w:bottom w:val="none" w:sz="0" w:space="0" w:color="auto"/>
                                                                        <w:right w:val="none" w:sz="0" w:space="0" w:color="auto"/>
                                                                      </w:divBdr>
                                                                      <w:divsChild>
                                                                        <w:div w:id="309601528">
                                                                          <w:marLeft w:val="0"/>
                                                                          <w:marRight w:val="0"/>
                                                                          <w:marTop w:val="0"/>
                                                                          <w:marBottom w:val="0"/>
                                                                          <w:divBdr>
                                                                            <w:top w:val="none" w:sz="0" w:space="0" w:color="auto"/>
                                                                            <w:left w:val="none" w:sz="0" w:space="0" w:color="auto"/>
                                                                            <w:bottom w:val="none" w:sz="0" w:space="0" w:color="auto"/>
                                                                            <w:right w:val="none" w:sz="0" w:space="0" w:color="auto"/>
                                                                          </w:divBdr>
                                                                          <w:divsChild>
                                                                            <w:div w:id="1772119801">
                                                                              <w:marLeft w:val="0"/>
                                                                              <w:marRight w:val="0"/>
                                                                              <w:marTop w:val="0"/>
                                                                              <w:marBottom w:val="0"/>
                                                                              <w:divBdr>
                                                                                <w:top w:val="none" w:sz="0" w:space="0" w:color="auto"/>
                                                                                <w:left w:val="none" w:sz="0" w:space="0" w:color="auto"/>
                                                                                <w:bottom w:val="none" w:sz="0" w:space="0" w:color="auto"/>
                                                                                <w:right w:val="none" w:sz="0" w:space="0" w:color="auto"/>
                                                                              </w:divBdr>
                                                                              <w:divsChild>
                                                                                <w:div w:id="1017342773">
                                                                                  <w:marLeft w:val="0"/>
                                                                                  <w:marRight w:val="0"/>
                                                                                  <w:marTop w:val="0"/>
                                                                                  <w:marBottom w:val="0"/>
                                                                                  <w:divBdr>
                                                                                    <w:top w:val="none" w:sz="0" w:space="0" w:color="auto"/>
                                                                                    <w:left w:val="none" w:sz="0" w:space="0" w:color="auto"/>
                                                                                    <w:bottom w:val="none" w:sz="0" w:space="0" w:color="auto"/>
                                                                                    <w:right w:val="none" w:sz="0" w:space="0" w:color="auto"/>
                                                                                  </w:divBdr>
                                                                                  <w:divsChild>
                                                                                    <w:div w:id="1951429181">
                                                                                      <w:marLeft w:val="0"/>
                                                                                      <w:marRight w:val="0"/>
                                                                                      <w:marTop w:val="0"/>
                                                                                      <w:marBottom w:val="0"/>
                                                                                      <w:divBdr>
                                                                                        <w:top w:val="single" w:sz="6" w:space="0" w:color="A7B3BD"/>
                                                                                        <w:left w:val="none" w:sz="0" w:space="0" w:color="auto"/>
                                                                                        <w:bottom w:val="none" w:sz="0" w:space="0" w:color="auto"/>
                                                                                        <w:right w:val="none" w:sz="0" w:space="0" w:color="auto"/>
                                                                                      </w:divBdr>
                                                                                      <w:divsChild>
                                                                                        <w:div w:id="91347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016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1D691-6679-4905-B557-ECB98D148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1732</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REPORT TO: City Development - 24 September 2012</vt:lpstr>
    </vt:vector>
  </TitlesOfParts>
  <Company>Dundee City Council</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City Development - 24 September 2012</dc:title>
  <dc:subject>Winter Maintenance Review and Policy and Level of Service 2012-13</dc:subject>
  <dc:creator>FW/DMcK/ES</dc:creator>
  <cp:lastModifiedBy>Fiona Christison</cp:lastModifiedBy>
  <cp:revision>2</cp:revision>
  <cp:lastPrinted>2020-08-25T08:47:00Z</cp:lastPrinted>
  <dcterms:created xsi:type="dcterms:W3CDTF">2020-11-13T10:30:00Z</dcterms:created>
  <dcterms:modified xsi:type="dcterms:W3CDTF">2020-11-13T10:30:00Z</dcterms:modified>
</cp:coreProperties>
</file>